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A11B" w14:textId="77777777" w:rsidR="00677C23" w:rsidRDefault="00117374" w:rsidP="006A6BAB">
      <w:pPr>
        <w:spacing w:before="100" w:beforeAutospacing="1" w:after="0"/>
        <w:rPr>
          <w:rFonts w:ascii="Arial" w:eastAsia="Calibri" w:hAnsi="Arial" w:cs="Arial"/>
          <w:sz w:val="21"/>
          <w:szCs w:val="21"/>
        </w:rPr>
      </w:pPr>
      <w:bookmarkStart w:id="0" w:name="_Hlk85468382"/>
      <w:bookmarkEnd w:id="0"/>
      <w:r w:rsidRPr="00D50BCB">
        <w:rPr>
          <w:rFonts w:ascii="Arial" w:eastAsia="Calibri" w:hAnsi="Arial" w:cs="Arial"/>
          <w:sz w:val="21"/>
          <w:szCs w:val="21"/>
        </w:rPr>
        <w:t xml:space="preserve">Email to: </w:t>
      </w:r>
    </w:p>
    <w:p w14:paraId="750F38DD" w14:textId="59259A75" w:rsidR="00117374" w:rsidRDefault="00F7014C" w:rsidP="006A6BAB">
      <w:pPr>
        <w:spacing w:before="100" w:beforeAutospacing="1" w:after="0"/>
        <w:rPr>
          <w:rFonts w:ascii="Arial" w:eastAsia="Calibri" w:hAnsi="Arial" w:cs="Arial"/>
          <w:sz w:val="21"/>
          <w:szCs w:val="21"/>
        </w:rPr>
      </w:pPr>
      <w:hyperlink r:id="rId11" w:history="1">
        <w:r w:rsidR="00677C23" w:rsidRPr="00BE7F79">
          <w:rPr>
            <w:rStyle w:val="Hyperlink"/>
            <w:rFonts w:ascii="Arial" w:eastAsia="Calibri" w:hAnsi="Arial" w:cs="Arial"/>
            <w:sz w:val="21"/>
            <w:szCs w:val="21"/>
          </w:rPr>
          <w:t>WMReform@ofgem.gov.uk</w:t>
        </w:r>
      </w:hyperlink>
    </w:p>
    <w:p w14:paraId="64056088" w14:textId="43716B7D" w:rsidR="00117374" w:rsidRPr="00D50BCB" w:rsidRDefault="00F7014C" w:rsidP="00E41BCF">
      <w:pPr>
        <w:spacing w:before="100" w:beforeAutospacing="1" w:after="0"/>
        <w:rPr>
          <w:rFonts w:ascii="Arial" w:eastAsia="Calibri" w:hAnsi="Arial" w:cs="Arial"/>
          <w:sz w:val="21"/>
          <w:szCs w:val="21"/>
        </w:rPr>
      </w:pPr>
      <w:sdt>
        <w:sdtPr>
          <w:rPr>
            <w:rFonts w:ascii="Arial" w:eastAsia="Calibri" w:hAnsi="Arial" w:cs="Arial"/>
            <w:sz w:val="21"/>
            <w:szCs w:val="21"/>
          </w:rPr>
          <w:alias w:val="Please select the date"/>
          <w:tag w:val="Please select the date"/>
          <w:id w:val="-1603492743"/>
          <w:placeholder>
            <w:docPart w:val="C9E423E3AD5A4EE987BFE463961FD470"/>
          </w:placeholder>
          <w:date w:fullDate="2023-11-15T00:00:00Z">
            <w:dateFormat w:val="dd MMMM yyyy"/>
            <w:lid w:val="en-GB"/>
            <w:storeMappedDataAs w:val="dateTime"/>
            <w:calendar w:val="gregorian"/>
          </w:date>
        </w:sdtPr>
        <w:sdtEndPr/>
        <w:sdtContent>
          <w:r w:rsidR="000E5D34">
            <w:rPr>
              <w:rFonts w:ascii="Arial" w:eastAsia="Calibri" w:hAnsi="Arial" w:cs="Arial"/>
              <w:sz w:val="21"/>
              <w:szCs w:val="21"/>
            </w:rPr>
            <w:t>15 November 2023</w:t>
          </w:r>
        </w:sdtContent>
      </w:sdt>
    </w:p>
    <w:p w14:paraId="3D553120" w14:textId="1647E691" w:rsidR="00117374" w:rsidRDefault="00117374" w:rsidP="00117374">
      <w:pPr>
        <w:spacing w:before="100" w:beforeAutospacing="1" w:after="100" w:afterAutospacing="1"/>
        <w:jc w:val="both"/>
        <w:rPr>
          <w:rFonts w:ascii="Arial" w:eastAsia="Calibri" w:hAnsi="Arial" w:cs="Arial"/>
          <w:sz w:val="21"/>
          <w:szCs w:val="21"/>
        </w:rPr>
      </w:pPr>
      <w:r w:rsidRPr="00080EA3">
        <w:rPr>
          <w:rFonts w:ascii="Arial" w:eastAsia="Calibri" w:hAnsi="Arial" w:cs="Arial"/>
          <w:sz w:val="21"/>
          <w:szCs w:val="21"/>
        </w:rPr>
        <w:t xml:space="preserve">Dear </w:t>
      </w:r>
      <w:r w:rsidR="00677C23">
        <w:rPr>
          <w:rFonts w:ascii="Arial" w:eastAsia="Calibri" w:hAnsi="Arial" w:cs="Arial"/>
          <w:sz w:val="21"/>
          <w:szCs w:val="21"/>
        </w:rPr>
        <w:t>Eleanor Warburton,</w:t>
      </w:r>
      <w:r w:rsidRPr="00D50BCB">
        <w:rPr>
          <w:rFonts w:ascii="Arial" w:eastAsia="Calibri" w:hAnsi="Arial" w:cs="Arial"/>
          <w:sz w:val="21"/>
          <w:szCs w:val="21"/>
        </w:rPr>
        <w:t xml:space="preserve"> </w:t>
      </w:r>
    </w:p>
    <w:p w14:paraId="6FACE124" w14:textId="7A085937" w:rsidR="00576BC6" w:rsidRDefault="006E369D" w:rsidP="006E369D">
      <w:pPr>
        <w:spacing w:before="100" w:beforeAutospacing="1" w:after="100" w:afterAutospacing="1"/>
        <w:jc w:val="both"/>
        <w:rPr>
          <w:rFonts w:ascii="Arial" w:eastAsia="Calibri" w:hAnsi="Arial" w:cs="Arial"/>
          <w:b/>
          <w:bCs/>
          <w:sz w:val="21"/>
          <w:szCs w:val="21"/>
        </w:rPr>
      </w:pPr>
      <w:r w:rsidRPr="006E369D">
        <w:rPr>
          <w:rFonts w:ascii="Arial" w:eastAsia="Calibri" w:hAnsi="Arial" w:cs="Arial"/>
          <w:b/>
          <w:bCs/>
          <w:sz w:val="21"/>
          <w:szCs w:val="21"/>
        </w:rPr>
        <w:t xml:space="preserve">Response to </w:t>
      </w:r>
      <w:r w:rsidR="00576BC6">
        <w:rPr>
          <w:rFonts w:ascii="Arial" w:eastAsia="Calibri" w:hAnsi="Arial" w:cs="Arial"/>
          <w:b/>
          <w:bCs/>
          <w:sz w:val="21"/>
          <w:szCs w:val="21"/>
        </w:rPr>
        <w:t xml:space="preserve">Ofgem’s </w:t>
      </w:r>
      <w:r w:rsidR="00576BC6" w:rsidRPr="00576BC6">
        <w:rPr>
          <w:rFonts w:ascii="Arial" w:eastAsia="Calibri" w:hAnsi="Arial" w:cs="Arial"/>
          <w:b/>
          <w:bCs/>
          <w:sz w:val="21"/>
          <w:szCs w:val="21"/>
        </w:rPr>
        <w:t>Open letter on strategic transmission charging reform</w:t>
      </w:r>
    </w:p>
    <w:p w14:paraId="32CB7D2B" w14:textId="5E119D3D" w:rsidR="006E369D" w:rsidRPr="006E369D" w:rsidRDefault="006E369D" w:rsidP="006E369D">
      <w:pPr>
        <w:spacing w:before="100" w:beforeAutospacing="1" w:after="100" w:afterAutospacing="1"/>
        <w:jc w:val="both"/>
        <w:rPr>
          <w:rFonts w:ascii="Arial" w:eastAsia="Calibri" w:hAnsi="Arial" w:cs="Arial"/>
          <w:sz w:val="21"/>
          <w:szCs w:val="21"/>
        </w:rPr>
      </w:pPr>
      <w:r w:rsidRPr="006E369D">
        <w:rPr>
          <w:rFonts w:ascii="Arial" w:eastAsia="Calibri" w:hAnsi="Arial" w:cs="Arial"/>
          <w:sz w:val="21"/>
          <w:szCs w:val="21"/>
        </w:rPr>
        <w:t>Scottish Renewables is the voice of Scotland’s renewable energy industry. The sectors we represent deliver investment, jobs and social benefits and reduce the carbon emissions which cause climate change. Our 3</w:t>
      </w:r>
      <w:r w:rsidR="00E50163">
        <w:rPr>
          <w:rFonts w:ascii="Arial" w:eastAsia="Calibri" w:hAnsi="Arial" w:cs="Arial"/>
          <w:sz w:val="21"/>
          <w:szCs w:val="21"/>
        </w:rPr>
        <w:t>4</w:t>
      </w:r>
      <w:r w:rsidRPr="006E369D">
        <w:rPr>
          <w:rFonts w:ascii="Arial" w:eastAsia="Calibri" w:hAnsi="Arial" w:cs="Arial"/>
          <w:sz w:val="21"/>
          <w:szCs w:val="21"/>
        </w:rPr>
        <w:t>0-plus members work across all renewable energy technologies, in Scotland, the UK, Europe and around the world. In representing them, we aim to lead and inform the debate on how the growth of renewable energy can help sustainably heat and power Scotland’s homes and businesses.</w:t>
      </w:r>
    </w:p>
    <w:p w14:paraId="6CBC1138" w14:textId="77777777" w:rsidR="00560934" w:rsidRDefault="006E369D" w:rsidP="004B4B9F">
      <w:pPr>
        <w:spacing w:before="100" w:beforeAutospacing="1" w:after="100" w:afterAutospacing="1"/>
        <w:jc w:val="both"/>
        <w:rPr>
          <w:rFonts w:ascii="Arial" w:eastAsia="Calibri" w:hAnsi="Arial" w:cs="Arial"/>
          <w:sz w:val="21"/>
          <w:szCs w:val="21"/>
        </w:rPr>
      </w:pPr>
      <w:r w:rsidRPr="006E369D">
        <w:rPr>
          <w:rFonts w:ascii="Arial" w:eastAsia="Calibri" w:hAnsi="Arial" w:cs="Arial"/>
          <w:sz w:val="21"/>
          <w:szCs w:val="21"/>
        </w:rPr>
        <w:t>Scottish Renewables welcomes the opportunity to respon</w:t>
      </w:r>
      <w:r w:rsidR="00576BC6">
        <w:rPr>
          <w:rFonts w:ascii="Arial" w:eastAsia="Calibri" w:hAnsi="Arial" w:cs="Arial"/>
          <w:sz w:val="21"/>
          <w:szCs w:val="21"/>
        </w:rPr>
        <w:t xml:space="preserve">d </w:t>
      </w:r>
      <w:r w:rsidR="005C3539">
        <w:rPr>
          <w:rFonts w:ascii="Arial" w:eastAsia="Calibri" w:hAnsi="Arial" w:cs="Arial"/>
          <w:sz w:val="21"/>
          <w:szCs w:val="21"/>
        </w:rPr>
        <w:t xml:space="preserve">to </w:t>
      </w:r>
      <w:r w:rsidR="00576BC6" w:rsidRPr="00576BC6">
        <w:rPr>
          <w:rFonts w:ascii="Arial" w:eastAsia="Calibri" w:hAnsi="Arial" w:cs="Arial"/>
          <w:sz w:val="21"/>
          <w:szCs w:val="21"/>
        </w:rPr>
        <w:t>Ofgem’s Open letter on strategic transmission charging reform</w:t>
      </w:r>
      <w:r w:rsidR="009A0E4C">
        <w:rPr>
          <w:rFonts w:ascii="Arial" w:eastAsia="Calibri" w:hAnsi="Arial" w:cs="Arial"/>
          <w:sz w:val="21"/>
          <w:szCs w:val="21"/>
        </w:rPr>
        <w:t>. We</w:t>
      </w:r>
      <w:r w:rsidR="0051211A">
        <w:rPr>
          <w:rFonts w:ascii="Arial" w:eastAsia="Calibri" w:hAnsi="Arial" w:cs="Arial"/>
          <w:sz w:val="21"/>
          <w:szCs w:val="21"/>
        </w:rPr>
        <w:t xml:space="preserve"> a</w:t>
      </w:r>
      <w:r w:rsidR="009A0E4C">
        <w:rPr>
          <w:rFonts w:ascii="Arial" w:eastAsia="Calibri" w:hAnsi="Arial" w:cs="Arial"/>
          <w:sz w:val="21"/>
          <w:szCs w:val="21"/>
        </w:rPr>
        <w:t xml:space="preserve">lso welcome </w:t>
      </w:r>
      <w:r w:rsidR="00A04BEE" w:rsidRPr="00A04BEE">
        <w:rPr>
          <w:rFonts w:ascii="Arial" w:eastAsia="Calibri" w:hAnsi="Arial" w:cs="Arial"/>
          <w:sz w:val="21"/>
          <w:szCs w:val="21"/>
        </w:rPr>
        <w:t>the broad thinking undertaken by Ofgem in preparing this lette</w:t>
      </w:r>
      <w:r w:rsidR="009A0E4C">
        <w:rPr>
          <w:rFonts w:ascii="Arial" w:eastAsia="Calibri" w:hAnsi="Arial" w:cs="Arial"/>
          <w:sz w:val="21"/>
          <w:szCs w:val="21"/>
        </w:rPr>
        <w:t xml:space="preserve">r </w:t>
      </w:r>
      <w:r w:rsidR="00A04BEE" w:rsidRPr="00A04BEE">
        <w:rPr>
          <w:rFonts w:ascii="Arial" w:eastAsia="Calibri" w:hAnsi="Arial" w:cs="Arial"/>
          <w:sz w:val="21"/>
          <w:szCs w:val="21"/>
        </w:rPr>
        <w:t xml:space="preserve">and </w:t>
      </w:r>
      <w:r w:rsidR="009A0E4C">
        <w:rPr>
          <w:rFonts w:ascii="Arial" w:eastAsia="Calibri" w:hAnsi="Arial" w:cs="Arial"/>
          <w:sz w:val="21"/>
          <w:szCs w:val="21"/>
        </w:rPr>
        <w:t>applaud</w:t>
      </w:r>
      <w:r w:rsidR="00A04BEE" w:rsidRPr="00A04BEE">
        <w:rPr>
          <w:rFonts w:ascii="Arial" w:eastAsia="Calibri" w:hAnsi="Arial" w:cs="Arial"/>
          <w:sz w:val="21"/>
          <w:szCs w:val="21"/>
        </w:rPr>
        <w:t xml:space="preserve"> both the presentation of the key issues </w:t>
      </w:r>
      <w:r w:rsidR="00560934" w:rsidRPr="00A04BEE">
        <w:rPr>
          <w:rFonts w:ascii="Arial" w:eastAsia="Calibri" w:hAnsi="Arial" w:cs="Arial"/>
          <w:sz w:val="21"/>
          <w:szCs w:val="21"/>
        </w:rPr>
        <w:t>and</w:t>
      </w:r>
      <w:r w:rsidR="00A04BEE" w:rsidRPr="00A04BEE">
        <w:rPr>
          <w:rFonts w:ascii="Arial" w:eastAsia="Calibri" w:hAnsi="Arial" w:cs="Arial"/>
          <w:sz w:val="21"/>
          <w:szCs w:val="21"/>
        </w:rPr>
        <w:t xml:space="preserve"> the range of potential solutions under consideration.</w:t>
      </w:r>
      <w:r w:rsidR="009A0E4C">
        <w:rPr>
          <w:rFonts w:ascii="Arial" w:eastAsia="Calibri" w:hAnsi="Arial" w:cs="Arial"/>
          <w:sz w:val="21"/>
          <w:szCs w:val="21"/>
        </w:rPr>
        <w:t xml:space="preserve"> </w:t>
      </w:r>
    </w:p>
    <w:p w14:paraId="700C09B5" w14:textId="6FD7075B" w:rsidR="008609FC" w:rsidRDefault="008609FC" w:rsidP="004B4B9F">
      <w:pPr>
        <w:spacing w:before="100" w:beforeAutospacing="1" w:after="100" w:afterAutospacing="1"/>
        <w:jc w:val="both"/>
        <w:rPr>
          <w:rFonts w:ascii="Arial" w:eastAsia="Calibri" w:hAnsi="Arial" w:cs="Arial"/>
          <w:sz w:val="21"/>
          <w:szCs w:val="21"/>
        </w:rPr>
      </w:pPr>
      <w:r w:rsidRPr="008609FC">
        <w:rPr>
          <w:rFonts w:ascii="Arial" w:eastAsia="Calibri" w:hAnsi="Arial" w:cs="Arial"/>
          <w:sz w:val="21"/>
          <w:szCs w:val="21"/>
          <w:highlight w:val="yellow"/>
        </w:rPr>
        <w:t>Still to add summary/key points</w:t>
      </w:r>
      <w:r>
        <w:rPr>
          <w:rFonts w:ascii="Arial" w:eastAsia="Calibri" w:hAnsi="Arial" w:cs="Arial"/>
          <w:sz w:val="21"/>
          <w:szCs w:val="21"/>
        </w:rPr>
        <w:t xml:space="preserve"> </w:t>
      </w:r>
    </w:p>
    <w:p w14:paraId="363875FD" w14:textId="40D2A977" w:rsidR="004B4B9F" w:rsidRDefault="00A04BEE" w:rsidP="004B4B9F">
      <w:pPr>
        <w:spacing w:before="100" w:beforeAutospacing="1" w:after="100" w:afterAutospacing="1"/>
        <w:jc w:val="both"/>
        <w:rPr>
          <w:rFonts w:ascii="Arial" w:eastAsia="Calibri" w:hAnsi="Arial" w:cs="Arial"/>
          <w:sz w:val="21"/>
          <w:szCs w:val="21"/>
        </w:rPr>
      </w:pPr>
      <w:r w:rsidRPr="00A04BEE">
        <w:rPr>
          <w:rFonts w:ascii="Arial" w:eastAsia="Calibri" w:hAnsi="Arial" w:cs="Arial"/>
          <w:sz w:val="21"/>
          <w:szCs w:val="21"/>
        </w:rPr>
        <w:t>In keeping with our involvement with the TNUoS Task Force and other industry bodies,</w:t>
      </w:r>
      <w:r w:rsidR="002C6788">
        <w:rPr>
          <w:rFonts w:ascii="Arial" w:eastAsia="Calibri" w:hAnsi="Arial" w:cs="Arial"/>
          <w:sz w:val="21"/>
          <w:szCs w:val="21"/>
        </w:rPr>
        <w:t xml:space="preserve"> S</w:t>
      </w:r>
      <w:r w:rsidR="004B4B9F" w:rsidRPr="00D50BCB">
        <w:rPr>
          <w:rFonts w:ascii="Arial" w:eastAsia="Calibri" w:hAnsi="Arial" w:cs="Arial"/>
          <w:sz w:val="21"/>
          <w:szCs w:val="21"/>
        </w:rPr>
        <w:t>cottish Renewables would be keen to engage further with this agenda and would be happy to discuss our response in more detail.</w:t>
      </w:r>
    </w:p>
    <w:p w14:paraId="0FB1BD67" w14:textId="77777777" w:rsidR="004B4B9F" w:rsidRPr="00D50BCB" w:rsidRDefault="004B4B9F" w:rsidP="004B4B9F">
      <w:pPr>
        <w:shd w:val="clear" w:color="auto" w:fill="FFFFFF"/>
        <w:spacing w:before="100" w:beforeAutospacing="1" w:after="100" w:afterAutospacing="1"/>
        <w:jc w:val="both"/>
        <w:rPr>
          <w:rFonts w:ascii="Arial" w:eastAsia="Calibri" w:hAnsi="Arial" w:cs="Arial"/>
          <w:sz w:val="21"/>
          <w:szCs w:val="21"/>
        </w:rPr>
      </w:pPr>
      <w:r w:rsidRPr="00D50BCB">
        <w:rPr>
          <w:rFonts w:ascii="Arial" w:eastAsia="Calibri" w:hAnsi="Arial" w:cs="Arial"/>
          <w:sz w:val="21"/>
          <w:szCs w:val="21"/>
        </w:rPr>
        <w:t xml:space="preserve">Yours sincerely, </w:t>
      </w:r>
    </w:p>
    <w:p w14:paraId="30BBC8D3" w14:textId="77777777" w:rsidR="004B4B9F" w:rsidRDefault="004B4B9F" w:rsidP="004B4B9F">
      <w:pPr>
        <w:shd w:val="clear" w:color="auto" w:fill="FFFFFF"/>
        <w:spacing w:before="100" w:beforeAutospacing="1" w:after="100" w:afterAutospacing="1"/>
        <w:jc w:val="both"/>
        <w:rPr>
          <w:rFonts w:ascii="Segoe Script" w:eastAsia="Calibri" w:hAnsi="Segoe Script" w:cs="Arial"/>
          <w:noProof/>
          <w:sz w:val="28"/>
          <w:szCs w:val="28"/>
        </w:rPr>
      </w:pPr>
      <w:r w:rsidRPr="00D50BCB">
        <w:rPr>
          <w:rFonts w:ascii="Segoe Script" w:eastAsia="Calibri" w:hAnsi="Segoe Script" w:cs="Arial"/>
          <w:noProof/>
          <w:sz w:val="28"/>
          <w:szCs w:val="28"/>
        </w:rPr>
        <w:t>Stephen McKellar</w:t>
      </w:r>
    </w:p>
    <w:p w14:paraId="3EB7A2A6" w14:textId="77777777" w:rsidR="000E5D34" w:rsidRPr="000E0135" w:rsidRDefault="000E5D34" w:rsidP="000E5D34">
      <w:pPr>
        <w:shd w:val="clear" w:color="auto" w:fill="FFFFFF"/>
        <w:spacing w:before="100" w:beforeAutospacing="1" w:after="100" w:afterAutospacing="1"/>
        <w:rPr>
          <w:rFonts w:ascii="Arial" w:eastAsia="Calibri" w:hAnsi="Arial" w:cs="Arial"/>
          <w:b/>
          <w:sz w:val="21"/>
          <w:szCs w:val="21"/>
        </w:rPr>
      </w:pPr>
      <w:r w:rsidRPr="00D50BCB">
        <w:rPr>
          <w:rFonts w:ascii="Arial" w:eastAsia="Calibri" w:hAnsi="Arial" w:cs="Arial"/>
          <w:sz w:val="21"/>
          <w:szCs w:val="21"/>
        </w:rPr>
        <w:t>Stephen McKellar</w:t>
      </w:r>
      <w:r w:rsidRPr="00D50BCB">
        <w:rPr>
          <w:rFonts w:ascii="Arial" w:eastAsia="Calibri" w:hAnsi="Arial" w:cs="Arial"/>
          <w:sz w:val="21"/>
          <w:szCs w:val="21"/>
        </w:rPr>
        <w:br/>
      </w:r>
      <w:r>
        <w:rPr>
          <w:rFonts w:ascii="Arial" w:eastAsia="Calibri" w:hAnsi="Arial" w:cs="Arial"/>
          <w:b/>
          <w:sz w:val="21"/>
          <w:szCs w:val="21"/>
        </w:rPr>
        <w:t xml:space="preserve">Senior </w:t>
      </w:r>
      <w:r w:rsidRPr="00D50BCB">
        <w:rPr>
          <w:rFonts w:ascii="Arial" w:eastAsia="Calibri" w:hAnsi="Arial" w:cs="Arial"/>
          <w:b/>
          <w:sz w:val="21"/>
          <w:szCs w:val="21"/>
        </w:rPr>
        <w:t>Policy Manager | Grid &amp; Systems</w:t>
      </w:r>
      <w:r>
        <w:rPr>
          <w:rFonts w:ascii="Arial" w:eastAsia="Calibri" w:hAnsi="Arial" w:cs="Arial"/>
          <w:b/>
          <w:sz w:val="21"/>
          <w:szCs w:val="21"/>
        </w:rPr>
        <w:br/>
      </w:r>
      <w:hyperlink r:id="rId12" w:history="1">
        <w:r w:rsidRPr="000E0135">
          <w:rPr>
            <w:rStyle w:val="Hyperlink"/>
            <w:rFonts w:ascii="Arial" w:eastAsia="Calibri" w:hAnsi="Arial" w:cs="Arial"/>
            <w:bCs/>
            <w:sz w:val="21"/>
            <w:szCs w:val="21"/>
          </w:rPr>
          <w:t>smckellar@scottishrenewables.com</w:t>
        </w:r>
      </w:hyperlink>
      <w:r w:rsidRPr="000E0135">
        <w:rPr>
          <w:rFonts w:ascii="Arial" w:eastAsia="Calibri" w:hAnsi="Arial" w:cs="Arial"/>
          <w:bCs/>
          <w:sz w:val="21"/>
          <w:szCs w:val="21"/>
        </w:rPr>
        <w:br/>
      </w:r>
      <w:r w:rsidRPr="00D50BCB">
        <w:rPr>
          <w:rFonts w:ascii="Arial" w:eastAsia="Calibri" w:hAnsi="Arial" w:cs="Arial"/>
          <w:sz w:val="21"/>
          <w:szCs w:val="21"/>
        </w:rPr>
        <w:t xml:space="preserve">Scottish Renewables </w:t>
      </w:r>
    </w:p>
    <w:p w14:paraId="60D49701" w14:textId="77777777" w:rsidR="006C12CF" w:rsidRDefault="006C12CF" w:rsidP="004C27DF">
      <w:pPr>
        <w:rPr>
          <w:rFonts w:ascii="Arial" w:eastAsia="Calibri" w:hAnsi="Arial" w:cs="Arial"/>
          <w:b/>
          <w:sz w:val="21"/>
          <w:szCs w:val="21"/>
        </w:rPr>
      </w:pPr>
    </w:p>
    <w:p w14:paraId="3E2AE7BD" w14:textId="56B1F4AD" w:rsidR="004C27DF" w:rsidRPr="00FD5A0A" w:rsidRDefault="004C27DF" w:rsidP="004C27DF">
      <w:pPr>
        <w:rPr>
          <w:rFonts w:ascii="Arial" w:eastAsia="Calibri" w:hAnsi="Arial" w:cs="Arial"/>
          <w:b/>
          <w:sz w:val="21"/>
          <w:szCs w:val="21"/>
        </w:rPr>
      </w:pPr>
      <w:r w:rsidRPr="00FD5A0A">
        <w:rPr>
          <w:rFonts w:ascii="Arial" w:eastAsia="Calibri" w:hAnsi="Arial" w:cs="Arial"/>
          <w:b/>
          <w:sz w:val="21"/>
          <w:szCs w:val="21"/>
        </w:rPr>
        <w:lastRenderedPageBreak/>
        <w:t>Background for Reform</w:t>
      </w:r>
    </w:p>
    <w:p w14:paraId="0F0920F2" w14:textId="12F24401" w:rsidR="004C27DF" w:rsidRPr="00867BDD" w:rsidRDefault="004C27DF" w:rsidP="004C27DF">
      <w:pPr>
        <w:rPr>
          <w:rFonts w:ascii="Arial" w:eastAsia="Calibri" w:hAnsi="Arial" w:cs="Arial"/>
          <w:b/>
          <w:sz w:val="21"/>
          <w:szCs w:val="21"/>
        </w:rPr>
      </w:pPr>
      <w:r w:rsidRPr="00867BDD">
        <w:rPr>
          <w:rFonts w:ascii="Arial" w:eastAsia="Calibri" w:hAnsi="Arial" w:cs="Arial"/>
          <w:b/>
          <w:sz w:val="21"/>
          <w:szCs w:val="21"/>
        </w:rPr>
        <w:t>1</w:t>
      </w:r>
      <w:r w:rsidR="00867BDD" w:rsidRPr="00867BDD">
        <w:rPr>
          <w:rFonts w:ascii="Arial" w:eastAsia="Calibri" w:hAnsi="Arial" w:cs="Arial"/>
          <w:b/>
          <w:sz w:val="21"/>
          <w:szCs w:val="21"/>
        </w:rPr>
        <w:t>.</w:t>
      </w:r>
      <w:r w:rsidRPr="00867BDD">
        <w:rPr>
          <w:rFonts w:ascii="Arial" w:eastAsia="Calibri" w:hAnsi="Arial" w:cs="Arial"/>
          <w:b/>
          <w:sz w:val="21"/>
          <w:szCs w:val="21"/>
        </w:rPr>
        <w:t xml:space="preserve"> Do you agree with the need to consider the future role and design of transmission charges </w:t>
      </w:r>
      <w:proofErr w:type="gramStart"/>
      <w:r w:rsidRPr="00867BDD">
        <w:rPr>
          <w:rFonts w:ascii="Arial" w:eastAsia="Calibri" w:hAnsi="Arial" w:cs="Arial"/>
          <w:b/>
          <w:sz w:val="21"/>
          <w:szCs w:val="21"/>
        </w:rPr>
        <w:t>in light of</w:t>
      </w:r>
      <w:proofErr w:type="gramEnd"/>
      <w:r w:rsidRPr="00867BDD">
        <w:rPr>
          <w:rFonts w:ascii="Arial" w:eastAsia="Calibri" w:hAnsi="Arial" w:cs="Arial"/>
          <w:b/>
          <w:sz w:val="21"/>
          <w:szCs w:val="21"/>
        </w:rPr>
        <w:t xml:space="preserve"> system changes and developing policy reforms? Which of these policy areas do you deem as more or less material?</w:t>
      </w:r>
    </w:p>
    <w:p w14:paraId="6C418AE0" w14:textId="77777777" w:rsidR="004C27DF" w:rsidRDefault="004C27DF" w:rsidP="004C27DF">
      <w:pPr>
        <w:rPr>
          <w:rFonts w:ascii="Arial" w:eastAsia="Calibri" w:hAnsi="Arial" w:cs="Arial"/>
          <w:bCs/>
          <w:sz w:val="21"/>
          <w:szCs w:val="21"/>
        </w:rPr>
      </w:pPr>
      <w:r w:rsidRPr="004C27DF">
        <w:rPr>
          <w:rFonts w:ascii="Arial" w:eastAsia="Calibri" w:hAnsi="Arial" w:cs="Arial"/>
          <w:bCs/>
          <w:sz w:val="21"/>
          <w:szCs w:val="21"/>
        </w:rPr>
        <w:t>We are firmly in agreement with the need to reform the transmission charging methodology and regime considering the wide-ranging changes that have impacted the transmission system since the current regime was established.</w:t>
      </w:r>
    </w:p>
    <w:p w14:paraId="29799E99" w14:textId="30C97AB0" w:rsidR="004C27DF" w:rsidRPr="004C27DF" w:rsidRDefault="00733CC6" w:rsidP="004C27DF">
      <w:pPr>
        <w:rPr>
          <w:rFonts w:ascii="Arial" w:eastAsia="Calibri" w:hAnsi="Arial" w:cs="Arial"/>
          <w:bCs/>
          <w:sz w:val="21"/>
          <w:szCs w:val="21"/>
        </w:rPr>
      </w:pPr>
      <w:r w:rsidRPr="00733CC6">
        <w:rPr>
          <w:rFonts w:ascii="Arial" w:eastAsia="Calibri" w:hAnsi="Arial" w:cs="Arial"/>
          <w:bCs/>
          <w:sz w:val="21"/>
          <w:szCs w:val="21"/>
        </w:rPr>
        <w:t>We agree that, on policy reforms, the two most material considerations are (</w:t>
      </w:r>
      <w:proofErr w:type="spellStart"/>
      <w:r w:rsidRPr="00733CC6">
        <w:rPr>
          <w:rFonts w:ascii="Arial" w:eastAsia="Calibri" w:hAnsi="Arial" w:cs="Arial"/>
          <w:bCs/>
          <w:sz w:val="21"/>
          <w:szCs w:val="21"/>
        </w:rPr>
        <w:t>i</w:t>
      </w:r>
      <w:proofErr w:type="spellEnd"/>
      <w:r w:rsidRPr="00733CC6">
        <w:rPr>
          <w:rFonts w:ascii="Arial" w:eastAsia="Calibri" w:hAnsi="Arial" w:cs="Arial"/>
          <w:bCs/>
          <w:sz w:val="21"/>
          <w:szCs w:val="21"/>
        </w:rPr>
        <w:t>) REMA and (ii) the move towards strategic and spatial planning.</w:t>
      </w:r>
      <w:r>
        <w:rPr>
          <w:rFonts w:ascii="Arial" w:eastAsia="Calibri" w:hAnsi="Arial" w:cs="Arial"/>
          <w:bCs/>
          <w:sz w:val="21"/>
          <w:szCs w:val="21"/>
        </w:rPr>
        <w:t xml:space="preserve"> </w:t>
      </w:r>
      <w:r w:rsidR="00723E66" w:rsidRPr="004C27DF">
        <w:rPr>
          <w:rFonts w:ascii="Arial" w:eastAsia="Calibri" w:hAnsi="Arial" w:cs="Arial"/>
          <w:bCs/>
          <w:sz w:val="21"/>
          <w:szCs w:val="21"/>
        </w:rPr>
        <w:t>REMA</w:t>
      </w:r>
      <w:r w:rsidR="004C27DF" w:rsidRPr="004C27DF">
        <w:rPr>
          <w:rFonts w:ascii="Arial" w:eastAsia="Calibri" w:hAnsi="Arial" w:cs="Arial"/>
          <w:bCs/>
          <w:sz w:val="21"/>
          <w:szCs w:val="21"/>
        </w:rPr>
        <w:t xml:space="preserve"> with its potential for introducing locational marginal pricing in some form, is going to be more material. </w:t>
      </w:r>
      <w:proofErr w:type="spellStart"/>
      <w:r w:rsidR="004C27DF" w:rsidRPr="004C27DF">
        <w:rPr>
          <w:rFonts w:ascii="Arial" w:eastAsia="Calibri" w:hAnsi="Arial" w:cs="Arial"/>
          <w:bCs/>
          <w:sz w:val="21"/>
          <w:szCs w:val="21"/>
        </w:rPr>
        <w:t>CfD</w:t>
      </w:r>
      <w:proofErr w:type="spellEnd"/>
      <w:r w:rsidR="004C27DF" w:rsidRPr="004C27DF">
        <w:rPr>
          <w:rFonts w:ascii="Arial" w:eastAsia="Calibri" w:hAnsi="Arial" w:cs="Arial"/>
          <w:bCs/>
          <w:sz w:val="21"/>
          <w:szCs w:val="21"/>
        </w:rPr>
        <w:t xml:space="preserve"> reform is also significant and needs to align with broader reforms and mitigate the impact of increasing transmission charges, inevitable if the current methodology is not changed, and likely under any future regime, if a net zero system is to be achieved.</w:t>
      </w:r>
    </w:p>
    <w:p w14:paraId="39C62AB9"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The development of spatial planning as proposed in the Winser report is also materially significant as it provides a basis for providing a locational signal for the type and volume of generation that is needed to deliver a net zero system. This could be much more efficient than relying on market forces to determine where and when generation and demand is developed.</w:t>
      </w:r>
    </w:p>
    <w:p w14:paraId="0261DE91"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For example, an offshore wind locational signal is primarily provided by the Crown Estate leasing rounds and other external factors such as seabed conditions, wind utilisation etc. A charging signal based on expansion factor provides an unintended barrier to development as offshore wind will always be developed at the extremities of the existing grid network. The consequence is that the high charges developers face particularly in the north of Scotland can only be fed through into the </w:t>
      </w:r>
      <w:proofErr w:type="spellStart"/>
      <w:r w:rsidRPr="004C27DF">
        <w:rPr>
          <w:rFonts w:ascii="Arial" w:eastAsia="Calibri" w:hAnsi="Arial" w:cs="Arial"/>
          <w:bCs/>
          <w:sz w:val="21"/>
          <w:szCs w:val="21"/>
        </w:rPr>
        <w:t>CfD</w:t>
      </w:r>
      <w:proofErr w:type="spellEnd"/>
      <w:r w:rsidRPr="004C27DF">
        <w:rPr>
          <w:rFonts w:ascii="Arial" w:eastAsia="Calibri" w:hAnsi="Arial" w:cs="Arial"/>
          <w:bCs/>
          <w:sz w:val="21"/>
          <w:szCs w:val="21"/>
        </w:rPr>
        <w:t xml:space="preserve"> strike price and passed onto consumers. This tension, if not resolved, will undermine the delivery of GB net zero targets in the short and longer terms.</w:t>
      </w:r>
    </w:p>
    <w:p w14:paraId="7FA40E9A" w14:textId="522843DE" w:rsidR="004C27DF" w:rsidRPr="00867BDD" w:rsidRDefault="004C27DF" w:rsidP="004C27DF">
      <w:pPr>
        <w:rPr>
          <w:rFonts w:ascii="Arial" w:eastAsia="Calibri" w:hAnsi="Arial" w:cs="Arial"/>
          <w:b/>
          <w:sz w:val="21"/>
          <w:szCs w:val="21"/>
        </w:rPr>
      </w:pPr>
      <w:r w:rsidRPr="00867BDD">
        <w:rPr>
          <w:rFonts w:ascii="Arial" w:eastAsia="Calibri" w:hAnsi="Arial" w:cs="Arial"/>
          <w:b/>
          <w:sz w:val="21"/>
          <w:szCs w:val="21"/>
        </w:rPr>
        <w:t>2</w:t>
      </w:r>
      <w:r w:rsidR="00867BDD" w:rsidRPr="00867BDD">
        <w:rPr>
          <w:rFonts w:ascii="Arial" w:eastAsia="Calibri" w:hAnsi="Arial" w:cs="Arial"/>
          <w:b/>
          <w:sz w:val="21"/>
          <w:szCs w:val="21"/>
        </w:rPr>
        <w:t>.</w:t>
      </w:r>
      <w:r w:rsidRPr="00867BDD">
        <w:rPr>
          <w:rFonts w:ascii="Arial" w:eastAsia="Calibri" w:hAnsi="Arial" w:cs="Arial"/>
          <w:b/>
          <w:sz w:val="21"/>
          <w:szCs w:val="21"/>
        </w:rPr>
        <w:t xml:space="preserve"> Are there other reform programmes not considered here that are likely to have a material bearing on the future role and design of transmission charging?</w:t>
      </w:r>
    </w:p>
    <w:p w14:paraId="53D13769"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As highlighted above </w:t>
      </w:r>
      <w:proofErr w:type="spellStart"/>
      <w:r w:rsidRPr="004C27DF">
        <w:rPr>
          <w:rFonts w:ascii="Arial" w:eastAsia="Calibri" w:hAnsi="Arial" w:cs="Arial"/>
          <w:bCs/>
          <w:sz w:val="21"/>
          <w:szCs w:val="21"/>
        </w:rPr>
        <w:t>CfD</w:t>
      </w:r>
      <w:proofErr w:type="spellEnd"/>
      <w:r w:rsidRPr="004C27DF">
        <w:rPr>
          <w:rFonts w:ascii="Arial" w:eastAsia="Calibri" w:hAnsi="Arial" w:cs="Arial"/>
          <w:bCs/>
          <w:sz w:val="21"/>
          <w:szCs w:val="21"/>
        </w:rPr>
        <w:t xml:space="preserve"> reform is material to, and needs to be influenced by, transmission charging reform. There is a risk that together they contribute to double counting but similarly, an opportunity to provide optimal coordinated investment signals.</w:t>
      </w:r>
    </w:p>
    <w:p w14:paraId="1C47A5AB" w14:textId="181D0F2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In addition,</w:t>
      </w:r>
      <w:r w:rsidR="003D13FA" w:rsidRPr="003D13FA">
        <w:rPr>
          <w:rFonts w:ascii="Segoe UI" w:eastAsia="Times New Roman" w:hAnsi="Segoe UI" w:cs="Segoe UI"/>
          <w:sz w:val="18"/>
          <w:szCs w:val="18"/>
          <w:lang w:eastAsia="en-GB"/>
        </w:rPr>
        <w:t xml:space="preserve"> </w:t>
      </w:r>
      <w:r w:rsidR="003D13FA" w:rsidRPr="003D13FA">
        <w:rPr>
          <w:rFonts w:ascii="Arial" w:eastAsia="Calibri" w:hAnsi="Arial" w:cs="Arial"/>
          <w:bCs/>
          <w:sz w:val="21"/>
          <w:szCs w:val="21"/>
        </w:rPr>
        <w:t xml:space="preserve">Offshore network coordination will have a bearing, although we see this as broadly within the category of strategic and spatial </w:t>
      </w:r>
      <w:proofErr w:type="spellStart"/>
      <w:proofErr w:type="gramStart"/>
      <w:r w:rsidR="003D13FA" w:rsidRPr="003D13FA">
        <w:rPr>
          <w:rFonts w:ascii="Arial" w:eastAsia="Calibri" w:hAnsi="Arial" w:cs="Arial"/>
          <w:bCs/>
          <w:sz w:val="21"/>
          <w:szCs w:val="21"/>
        </w:rPr>
        <w:t>planning.</w:t>
      </w:r>
      <w:r w:rsidR="003D13FA">
        <w:rPr>
          <w:rFonts w:ascii="Arial" w:eastAsia="Calibri" w:hAnsi="Arial" w:cs="Arial"/>
          <w:bCs/>
          <w:sz w:val="21"/>
          <w:szCs w:val="21"/>
        </w:rPr>
        <w:t>T</w:t>
      </w:r>
      <w:r w:rsidRPr="004C27DF">
        <w:rPr>
          <w:rFonts w:ascii="Arial" w:eastAsia="Calibri" w:hAnsi="Arial" w:cs="Arial"/>
          <w:bCs/>
          <w:sz w:val="21"/>
          <w:szCs w:val="21"/>
        </w:rPr>
        <w:t>he</w:t>
      </w:r>
      <w:proofErr w:type="spellEnd"/>
      <w:proofErr w:type="gramEnd"/>
      <w:r w:rsidRPr="004C27DF">
        <w:rPr>
          <w:rFonts w:ascii="Arial" w:eastAsia="Calibri" w:hAnsi="Arial" w:cs="Arial"/>
          <w:bCs/>
          <w:sz w:val="21"/>
          <w:szCs w:val="21"/>
        </w:rPr>
        <w:t xml:space="preserve"> OFTO regime needs improvement and development to meet the net zero challenge. For example, clarity on post tender revenue stream economics to mitigate the risk of early decommissioning of renewable generation. Other aspects of the OFTO regime are impacted by transmission charging and vice vers</w:t>
      </w:r>
      <w:r w:rsidR="00E910E3">
        <w:rPr>
          <w:rFonts w:ascii="Arial" w:eastAsia="Calibri" w:hAnsi="Arial" w:cs="Arial"/>
          <w:bCs/>
          <w:sz w:val="21"/>
          <w:szCs w:val="21"/>
        </w:rPr>
        <w:t>a</w:t>
      </w:r>
      <w:r w:rsidRPr="004C27DF">
        <w:rPr>
          <w:rFonts w:ascii="Arial" w:eastAsia="Calibri" w:hAnsi="Arial" w:cs="Arial"/>
          <w:bCs/>
          <w:sz w:val="21"/>
          <w:szCs w:val="21"/>
        </w:rPr>
        <w:t xml:space="preserve"> including, the </w:t>
      </w:r>
      <w:r w:rsidRPr="004C27DF">
        <w:rPr>
          <w:rFonts w:ascii="Arial" w:eastAsia="Calibri" w:hAnsi="Arial" w:cs="Arial"/>
          <w:bCs/>
          <w:sz w:val="21"/>
          <w:szCs w:val="21"/>
        </w:rPr>
        <w:lastRenderedPageBreak/>
        <w:t xml:space="preserve">generator commissioning clause, multi-purpose interconnectors and generation re-zoning. Charging reform needs to consider the interaction and impact with these elements. </w:t>
      </w:r>
    </w:p>
    <w:p w14:paraId="5BFD988E" w14:textId="77777777" w:rsidR="004C27DF" w:rsidRPr="00FD5A0A" w:rsidRDefault="004C27DF" w:rsidP="004C27DF">
      <w:pPr>
        <w:rPr>
          <w:rFonts w:ascii="Arial" w:eastAsia="Calibri" w:hAnsi="Arial" w:cs="Arial"/>
          <w:b/>
          <w:sz w:val="21"/>
          <w:szCs w:val="21"/>
        </w:rPr>
      </w:pPr>
      <w:r w:rsidRPr="00FD5A0A">
        <w:rPr>
          <w:rFonts w:ascii="Arial" w:eastAsia="Calibri" w:hAnsi="Arial" w:cs="Arial"/>
          <w:b/>
          <w:sz w:val="21"/>
          <w:szCs w:val="21"/>
        </w:rPr>
        <w:t>Objectives of Transmission Charging</w:t>
      </w:r>
    </w:p>
    <w:p w14:paraId="64FF4246" w14:textId="0C7576E5" w:rsidR="004C27DF" w:rsidRPr="004C27DF" w:rsidRDefault="004C27DF" w:rsidP="004C27DF">
      <w:pPr>
        <w:rPr>
          <w:rFonts w:ascii="Arial" w:eastAsia="Calibri" w:hAnsi="Arial" w:cs="Arial"/>
          <w:bCs/>
          <w:sz w:val="21"/>
          <w:szCs w:val="21"/>
        </w:rPr>
      </w:pPr>
      <w:r w:rsidRPr="00CC10B2">
        <w:rPr>
          <w:rFonts w:ascii="Arial" w:eastAsia="Calibri" w:hAnsi="Arial" w:cs="Arial"/>
          <w:b/>
          <w:sz w:val="21"/>
          <w:szCs w:val="21"/>
        </w:rPr>
        <w:t>3</w:t>
      </w:r>
      <w:r w:rsidR="00CC10B2" w:rsidRPr="00CC10B2">
        <w:rPr>
          <w:rFonts w:ascii="Arial" w:eastAsia="Calibri" w:hAnsi="Arial" w:cs="Arial"/>
          <w:b/>
          <w:sz w:val="21"/>
          <w:szCs w:val="21"/>
        </w:rPr>
        <w:t>.</w:t>
      </w:r>
      <w:r w:rsidRPr="00CC10B2">
        <w:rPr>
          <w:rFonts w:ascii="Arial" w:eastAsia="Calibri" w:hAnsi="Arial" w:cs="Arial"/>
          <w:b/>
          <w:sz w:val="21"/>
          <w:szCs w:val="21"/>
        </w:rPr>
        <w:t xml:space="preserve"> Do you see reasons to alter our current view not to design transmission charges to send dynamic operational signals for generation and demand in the longer-term?</w:t>
      </w:r>
    </w:p>
    <w:p w14:paraId="29E4FE77" w14:textId="77777777" w:rsidR="00F44F40"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We agree with Ofgem that transmission charges are effective at sending an investment signal, and not sending operational signals. </w:t>
      </w:r>
      <w:r w:rsidR="00F44F40">
        <w:rPr>
          <w:rFonts w:ascii="Arial" w:eastAsia="Calibri" w:hAnsi="Arial" w:cs="Arial"/>
          <w:bCs/>
          <w:sz w:val="21"/>
          <w:szCs w:val="21"/>
        </w:rPr>
        <w:t>T</w:t>
      </w:r>
      <w:r w:rsidR="00F44F40" w:rsidRPr="00F44F40">
        <w:rPr>
          <w:rFonts w:ascii="Arial" w:eastAsia="Calibri" w:hAnsi="Arial" w:cs="Arial"/>
          <w:bCs/>
          <w:sz w:val="21"/>
          <w:szCs w:val="21"/>
        </w:rPr>
        <w:t>ransmission charges are best designed solely as an investment decision signal (which includes decisions on plant closure or re-investment).</w:t>
      </w:r>
      <w:r w:rsidR="00F44F40">
        <w:rPr>
          <w:rFonts w:ascii="Arial" w:eastAsia="Calibri" w:hAnsi="Arial" w:cs="Arial"/>
          <w:bCs/>
          <w:sz w:val="21"/>
          <w:szCs w:val="21"/>
        </w:rPr>
        <w:t xml:space="preserve"> </w:t>
      </w:r>
    </w:p>
    <w:p w14:paraId="69E81B7C" w14:textId="563AD407" w:rsidR="004C27DF" w:rsidRPr="004C27DF" w:rsidRDefault="00F44F40" w:rsidP="004C27DF">
      <w:pPr>
        <w:rPr>
          <w:rFonts w:ascii="Arial" w:eastAsia="Calibri" w:hAnsi="Arial" w:cs="Arial"/>
          <w:bCs/>
          <w:sz w:val="21"/>
          <w:szCs w:val="21"/>
        </w:rPr>
      </w:pPr>
      <w:r>
        <w:rPr>
          <w:rFonts w:ascii="Arial" w:eastAsia="Calibri" w:hAnsi="Arial" w:cs="Arial"/>
          <w:bCs/>
          <w:sz w:val="21"/>
          <w:szCs w:val="21"/>
        </w:rPr>
        <w:t>T</w:t>
      </w:r>
      <w:r w:rsidR="004C27DF" w:rsidRPr="004C27DF">
        <w:rPr>
          <w:rFonts w:ascii="Arial" w:eastAsia="Calibri" w:hAnsi="Arial" w:cs="Arial"/>
          <w:bCs/>
          <w:sz w:val="21"/>
          <w:szCs w:val="21"/>
        </w:rPr>
        <w:t xml:space="preserve">ransmission charges need to be predictable to provide effective long term investment signals and therefore cannot also effectively anticipate real time operational conditions. </w:t>
      </w:r>
    </w:p>
    <w:p w14:paraId="4925531C" w14:textId="77777777" w:rsidR="004C27DF" w:rsidRDefault="004C27DF" w:rsidP="004C27DF">
      <w:pPr>
        <w:rPr>
          <w:rFonts w:ascii="Arial" w:eastAsia="Calibri" w:hAnsi="Arial" w:cs="Arial"/>
          <w:bCs/>
          <w:sz w:val="21"/>
          <w:szCs w:val="21"/>
        </w:rPr>
      </w:pPr>
      <w:r w:rsidRPr="004C27DF">
        <w:rPr>
          <w:rFonts w:ascii="Arial" w:eastAsia="Calibri" w:hAnsi="Arial" w:cs="Arial"/>
          <w:bCs/>
          <w:sz w:val="21"/>
          <w:szCs w:val="21"/>
        </w:rPr>
        <w:t>However, the operational benefits of co-locating demand and generation and other combinations of hybrid generation sites could be signalled by appropriate long run investment signals and is an opportunity for transmission charging reform to consider.</w:t>
      </w:r>
    </w:p>
    <w:p w14:paraId="5118174C" w14:textId="77777777" w:rsidR="007522FE" w:rsidRPr="007522FE" w:rsidRDefault="007522FE" w:rsidP="007522FE">
      <w:pPr>
        <w:rPr>
          <w:rFonts w:ascii="Arial" w:eastAsia="Calibri" w:hAnsi="Arial" w:cs="Arial"/>
          <w:bCs/>
          <w:sz w:val="21"/>
          <w:szCs w:val="21"/>
        </w:rPr>
      </w:pPr>
      <w:r w:rsidRPr="007522FE">
        <w:rPr>
          <w:rFonts w:ascii="Arial" w:eastAsia="Calibri" w:hAnsi="Arial" w:cs="Arial"/>
          <w:bCs/>
          <w:sz w:val="21"/>
          <w:szCs w:val="21"/>
        </w:rPr>
        <w:t>We believe that attempts to mix operational and investment signals with network charges risks double-counting and mixed-signalling; it would weaken the efficacy and usefulness of the investment signal element. Furthermore, it can distort related market signals – whether wholesale market, locational flexibility market, reformed BM, or other related system elements which include operational dispatch signalling.</w:t>
      </w:r>
    </w:p>
    <w:p w14:paraId="6198EBE4" w14:textId="61EF8617" w:rsidR="004C27DF" w:rsidRPr="00CC10B2" w:rsidRDefault="004C27DF" w:rsidP="004C27DF">
      <w:pPr>
        <w:rPr>
          <w:rFonts w:ascii="Arial" w:eastAsia="Calibri" w:hAnsi="Arial" w:cs="Arial"/>
          <w:b/>
          <w:sz w:val="21"/>
          <w:szCs w:val="21"/>
        </w:rPr>
      </w:pPr>
      <w:r w:rsidRPr="00CC10B2">
        <w:rPr>
          <w:rFonts w:ascii="Arial" w:eastAsia="Calibri" w:hAnsi="Arial" w:cs="Arial"/>
          <w:b/>
          <w:sz w:val="21"/>
          <w:szCs w:val="21"/>
        </w:rPr>
        <w:t>4</w:t>
      </w:r>
      <w:r w:rsidR="00CC10B2">
        <w:rPr>
          <w:rFonts w:ascii="Arial" w:eastAsia="Calibri" w:hAnsi="Arial" w:cs="Arial"/>
          <w:b/>
          <w:sz w:val="21"/>
          <w:szCs w:val="21"/>
        </w:rPr>
        <w:t>.</w:t>
      </w:r>
      <w:r w:rsidRPr="00CC10B2">
        <w:rPr>
          <w:rFonts w:ascii="Arial" w:eastAsia="Calibri" w:hAnsi="Arial" w:cs="Arial"/>
          <w:b/>
          <w:sz w:val="21"/>
          <w:szCs w:val="21"/>
        </w:rPr>
        <w:t xml:space="preserve"> In addition to those described above, what would be the other key characteristics of a future design, for the transmission charging framework, to enable its effective incorporation into investment decisions </w:t>
      </w:r>
      <w:proofErr w:type="gramStart"/>
      <w:r w:rsidRPr="00CC10B2">
        <w:rPr>
          <w:rFonts w:ascii="Arial" w:eastAsia="Calibri" w:hAnsi="Arial" w:cs="Arial"/>
          <w:b/>
          <w:sz w:val="21"/>
          <w:szCs w:val="21"/>
        </w:rPr>
        <w:t>so as to</w:t>
      </w:r>
      <w:proofErr w:type="gramEnd"/>
      <w:r w:rsidRPr="00CC10B2">
        <w:rPr>
          <w:rFonts w:ascii="Arial" w:eastAsia="Calibri" w:hAnsi="Arial" w:cs="Arial"/>
          <w:b/>
          <w:sz w:val="21"/>
          <w:szCs w:val="21"/>
        </w:rPr>
        <w:t xml:space="preserve"> achieve cost-effective net zero?</w:t>
      </w:r>
    </w:p>
    <w:p w14:paraId="51EF4275"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Locational signals in the existing transmission charging methodology are working in direct opposition to delivering and supporting net zero due to the current expansion approach to cost reflectivity. Low carbon targets require large offshore wind to deliver large volumes of renewable low carbon energy. Inevitably, offshore wind will be located at the extremes of the existing transmission network exposed to the higher zonal charges that exist furthest away from the centres of demand. This is apparent in the north south divide in cost exposure highlighted by the recent NGESO 10-year TNUoS projections. </w:t>
      </w:r>
    </w:p>
    <w:p w14:paraId="2CAF1FE1" w14:textId="0B72FBEE"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However, the need </w:t>
      </w:r>
      <w:r w:rsidR="00345022">
        <w:rPr>
          <w:rFonts w:ascii="Arial" w:eastAsia="Calibri" w:hAnsi="Arial" w:cs="Arial"/>
          <w:bCs/>
          <w:sz w:val="21"/>
          <w:szCs w:val="21"/>
        </w:rPr>
        <w:t xml:space="preserve">for </w:t>
      </w:r>
      <w:r w:rsidRPr="004C27DF">
        <w:rPr>
          <w:rFonts w:ascii="Arial" w:eastAsia="Calibri" w:hAnsi="Arial" w:cs="Arial"/>
          <w:bCs/>
          <w:sz w:val="21"/>
          <w:szCs w:val="21"/>
        </w:rPr>
        <w:t xml:space="preserve">transmission network upgrades </w:t>
      </w:r>
      <w:r w:rsidR="00345022">
        <w:rPr>
          <w:rFonts w:ascii="Arial" w:eastAsia="Calibri" w:hAnsi="Arial" w:cs="Arial"/>
          <w:bCs/>
          <w:sz w:val="21"/>
          <w:szCs w:val="21"/>
        </w:rPr>
        <w:t>is</w:t>
      </w:r>
      <w:r w:rsidRPr="004C27DF">
        <w:rPr>
          <w:rFonts w:ascii="Arial" w:eastAsia="Calibri" w:hAnsi="Arial" w:cs="Arial"/>
          <w:bCs/>
          <w:sz w:val="21"/>
          <w:szCs w:val="21"/>
        </w:rPr>
        <w:t xml:space="preserve"> triggered by generation and demand connecting at all points on the existing distribution and transmission networks. The ability for certain types of generation, solar and storage</w:t>
      </w:r>
      <w:r w:rsidR="008B21C0">
        <w:rPr>
          <w:rFonts w:ascii="Arial" w:eastAsia="Calibri" w:hAnsi="Arial" w:cs="Arial"/>
          <w:bCs/>
          <w:sz w:val="21"/>
          <w:szCs w:val="21"/>
        </w:rPr>
        <w:t>,</w:t>
      </w:r>
      <w:r w:rsidRPr="004C27DF">
        <w:rPr>
          <w:rFonts w:ascii="Arial" w:eastAsia="Calibri" w:hAnsi="Arial" w:cs="Arial"/>
          <w:bCs/>
          <w:sz w:val="21"/>
          <w:szCs w:val="21"/>
        </w:rPr>
        <w:t xml:space="preserve"> for example, can respond to the locational signal, offshore wind cannot.  Rather, the decision to locate is dominated by where wind resource is most prevalent, where seabed rights are released and compatible with </w:t>
      </w:r>
      <w:r w:rsidR="008B21C0">
        <w:rPr>
          <w:rFonts w:ascii="Arial" w:eastAsia="Calibri" w:hAnsi="Arial" w:cs="Arial"/>
          <w:bCs/>
          <w:sz w:val="21"/>
          <w:szCs w:val="21"/>
        </w:rPr>
        <w:t xml:space="preserve">the </w:t>
      </w:r>
      <w:r w:rsidRPr="004C27DF">
        <w:rPr>
          <w:rFonts w:ascii="Arial" w:eastAsia="Calibri" w:hAnsi="Arial" w:cs="Arial"/>
          <w:bCs/>
          <w:sz w:val="21"/>
          <w:szCs w:val="21"/>
        </w:rPr>
        <w:t xml:space="preserve">construction and </w:t>
      </w:r>
      <w:r w:rsidRPr="004C27DF">
        <w:rPr>
          <w:rFonts w:ascii="Arial" w:eastAsia="Calibri" w:hAnsi="Arial" w:cs="Arial"/>
          <w:bCs/>
          <w:sz w:val="21"/>
          <w:szCs w:val="21"/>
        </w:rPr>
        <w:lastRenderedPageBreak/>
        <w:t xml:space="preserve">operation of wind farms of scale. The cost of the transmission network upgrades is therefore levied inequitably on some generators compared to others. This is creating a shutdown signal for many sites with TNUoS levels rising to 65% of the levelized cost of energy and the downward pressure on </w:t>
      </w:r>
      <w:proofErr w:type="spellStart"/>
      <w:r w:rsidRPr="004C27DF">
        <w:rPr>
          <w:rFonts w:ascii="Arial" w:eastAsia="Calibri" w:hAnsi="Arial" w:cs="Arial"/>
          <w:bCs/>
          <w:sz w:val="21"/>
          <w:szCs w:val="21"/>
        </w:rPr>
        <w:t>CfD</w:t>
      </w:r>
      <w:proofErr w:type="spellEnd"/>
      <w:r w:rsidRPr="004C27DF">
        <w:rPr>
          <w:rFonts w:ascii="Arial" w:eastAsia="Calibri" w:hAnsi="Arial" w:cs="Arial"/>
          <w:bCs/>
          <w:sz w:val="21"/>
          <w:szCs w:val="21"/>
        </w:rPr>
        <w:t xml:space="preserve"> strike price.  This is evidenced by the recent tender round five outcome.</w:t>
      </w:r>
    </w:p>
    <w:p w14:paraId="5FFC9CBA" w14:textId="77777777" w:rsidR="004C27DF" w:rsidRPr="005D4746" w:rsidRDefault="004C27DF" w:rsidP="004C27DF">
      <w:pPr>
        <w:rPr>
          <w:rFonts w:ascii="Arial" w:eastAsia="Calibri" w:hAnsi="Arial" w:cs="Arial"/>
          <w:b/>
          <w:sz w:val="21"/>
          <w:szCs w:val="21"/>
        </w:rPr>
      </w:pPr>
      <w:r w:rsidRPr="005D4746">
        <w:rPr>
          <w:rFonts w:ascii="Arial" w:eastAsia="Calibri" w:hAnsi="Arial" w:cs="Arial"/>
          <w:b/>
          <w:sz w:val="21"/>
          <w:szCs w:val="21"/>
        </w:rPr>
        <w:t xml:space="preserve">Framework for transmission charge design </w:t>
      </w:r>
    </w:p>
    <w:p w14:paraId="79157B83" w14:textId="59AA1190" w:rsidR="004C27DF" w:rsidRPr="005D4746" w:rsidRDefault="004C27DF" w:rsidP="004C27DF">
      <w:pPr>
        <w:rPr>
          <w:rFonts w:ascii="Arial" w:eastAsia="Calibri" w:hAnsi="Arial" w:cs="Arial"/>
          <w:b/>
          <w:sz w:val="21"/>
          <w:szCs w:val="21"/>
        </w:rPr>
      </w:pPr>
      <w:r w:rsidRPr="005D4746">
        <w:rPr>
          <w:rFonts w:ascii="Arial" w:eastAsia="Calibri" w:hAnsi="Arial" w:cs="Arial"/>
          <w:b/>
          <w:sz w:val="21"/>
          <w:szCs w:val="21"/>
        </w:rPr>
        <w:t>5</w:t>
      </w:r>
      <w:r w:rsidR="005D4746" w:rsidRPr="005D4746">
        <w:rPr>
          <w:rFonts w:ascii="Arial" w:eastAsia="Calibri" w:hAnsi="Arial" w:cs="Arial"/>
          <w:b/>
          <w:sz w:val="21"/>
          <w:szCs w:val="21"/>
        </w:rPr>
        <w:t xml:space="preserve">. </w:t>
      </w:r>
      <w:r w:rsidRPr="005D4746">
        <w:rPr>
          <w:rFonts w:ascii="Arial" w:eastAsia="Calibri" w:hAnsi="Arial" w:cs="Arial"/>
          <w:b/>
          <w:sz w:val="21"/>
          <w:szCs w:val="21"/>
        </w:rPr>
        <w:t xml:space="preserve">Are there other key drivers that should be factored into the transmission charging framework? Which of these drivers do you see as most important? </w:t>
      </w:r>
    </w:p>
    <w:p w14:paraId="176DBE74" w14:textId="7D9E9C91" w:rsidR="00D9023A" w:rsidRPr="00D9023A" w:rsidRDefault="004C27DF" w:rsidP="00D9023A">
      <w:pPr>
        <w:rPr>
          <w:rFonts w:ascii="Arial" w:eastAsia="Calibri" w:hAnsi="Arial" w:cs="Arial"/>
          <w:bCs/>
          <w:sz w:val="21"/>
          <w:szCs w:val="21"/>
        </w:rPr>
      </w:pPr>
      <w:r w:rsidRPr="004C27DF">
        <w:rPr>
          <w:rFonts w:ascii="Arial" w:eastAsia="Calibri" w:hAnsi="Arial" w:cs="Arial"/>
          <w:bCs/>
          <w:sz w:val="21"/>
          <w:szCs w:val="21"/>
        </w:rPr>
        <w:t>We agree</w:t>
      </w:r>
      <w:r w:rsidR="00E929EC">
        <w:rPr>
          <w:rFonts w:ascii="Arial" w:eastAsia="Calibri" w:hAnsi="Arial" w:cs="Arial"/>
          <w:bCs/>
          <w:sz w:val="21"/>
          <w:szCs w:val="21"/>
        </w:rPr>
        <w:t xml:space="preserve"> that</w:t>
      </w:r>
      <w:r w:rsidRPr="004C27DF">
        <w:rPr>
          <w:rFonts w:ascii="Arial" w:eastAsia="Calibri" w:hAnsi="Arial" w:cs="Arial"/>
          <w:bCs/>
          <w:sz w:val="21"/>
          <w:szCs w:val="21"/>
        </w:rPr>
        <w:t xml:space="preserve"> the range of drivers identified by Ofgem and presented in </w:t>
      </w:r>
      <w:r w:rsidR="00E929EC">
        <w:rPr>
          <w:rFonts w:ascii="Arial" w:eastAsia="Calibri" w:hAnsi="Arial" w:cs="Arial"/>
          <w:bCs/>
          <w:sz w:val="21"/>
          <w:szCs w:val="21"/>
        </w:rPr>
        <w:t>Figure 1</w:t>
      </w:r>
      <w:r w:rsidR="003E3D01">
        <w:rPr>
          <w:rFonts w:ascii="Arial" w:eastAsia="Calibri" w:hAnsi="Arial" w:cs="Arial"/>
          <w:bCs/>
          <w:sz w:val="21"/>
          <w:szCs w:val="21"/>
        </w:rPr>
        <w:t>.</w:t>
      </w:r>
      <w:r w:rsidRPr="004C27DF">
        <w:rPr>
          <w:rFonts w:ascii="Arial" w:eastAsia="Calibri" w:hAnsi="Arial" w:cs="Arial"/>
          <w:bCs/>
          <w:sz w:val="21"/>
          <w:szCs w:val="21"/>
        </w:rPr>
        <w:t xml:space="preserve"> </w:t>
      </w:r>
      <w:r w:rsidR="00F759A1">
        <w:rPr>
          <w:rFonts w:ascii="Arial" w:eastAsia="Calibri" w:hAnsi="Arial" w:cs="Arial"/>
          <w:bCs/>
          <w:sz w:val="21"/>
          <w:szCs w:val="21"/>
        </w:rPr>
        <w:t>is</w:t>
      </w:r>
      <w:r w:rsidRPr="004C27DF">
        <w:rPr>
          <w:rFonts w:ascii="Arial" w:eastAsia="Calibri" w:hAnsi="Arial" w:cs="Arial"/>
          <w:bCs/>
          <w:sz w:val="21"/>
          <w:szCs w:val="21"/>
        </w:rPr>
        <w:t xml:space="preserve"> appropriate and comprehensive. </w:t>
      </w:r>
      <w:r w:rsidR="00D9023A">
        <w:rPr>
          <w:rFonts w:ascii="Arial" w:eastAsia="Calibri" w:hAnsi="Arial" w:cs="Arial"/>
          <w:bCs/>
          <w:sz w:val="21"/>
          <w:szCs w:val="21"/>
        </w:rPr>
        <w:t>W</w:t>
      </w:r>
      <w:r w:rsidR="00D9023A" w:rsidRPr="00D9023A">
        <w:rPr>
          <w:rFonts w:ascii="Arial" w:eastAsia="Calibri" w:hAnsi="Arial" w:cs="Arial"/>
          <w:bCs/>
          <w:sz w:val="21"/>
          <w:szCs w:val="21"/>
        </w:rPr>
        <w:t xml:space="preserve">e believe the choice from cost drivers within the </w:t>
      </w:r>
      <w:r w:rsidR="00CE0A56">
        <w:rPr>
          <w:rFonts w:ascii="Arial" w:eastAsia="Calibri" w:hAnsi="Arial" w:cs="Arial"/>
          <w:bCs/>
          <w:sz w:val="21"/>
          <w:szCs w:val="21"/>
        </w:rPr>
        <w:t>‘</w:t>
      </w:r>
      <w:r w:rsidR="00D9023A" w:rsidRPr="00D9023A">
        <w:rPr>
          <w:rFonts w:ascii="Arial" w:eastAsia="Calibri" w:hAnsi="Arial" w:cs="Arial"/>
          <w:bCs/>
          <w:sz w:val="21"/>
          <w:szCs w:val="21"/>
        </w:rPr>
        <w:t>what costs</w:t>
      </w:r>
      <w:r w:rsidR="00CE0A56">
        <w:rPr>
          <w:rFonts w:ascii="Arial" w:eastAsia="Calibri" w:hAnsi="Arial" w:cs="Arial"/>
          <w:bCs/>
          <w:sz w:val="21"/>
          <w:szCs w:val="21"/>
        </w:rPr>
        <w:t>’</w:t>
      </w:r>
      <w:r w:rsidR="00D9023A" w:rsidRPr="00D9023A">
        <w:rPr>
          <w:rFonts w:ascii="Arial" w:eastAsia="Calibri" w:hAnsi="Arial" w:cs="Arial"/>
          <w:bCs/>
          <w:sz w:val="21"/>
          <w:szCs w:val="21"/>
        </w:rPr>
        <w:t xml:space="preserve"> options to be the most important.</w:t>
      </w:r>
    </w:p>
    <w:p w14:paraId="7CFAB722" w14:textId="42BDC4D1"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The current expectation is that with the current regime, significant increases in transmission charges will materialise to meet </w:t>
      </w:r>
      <w:r w:rsidR="00F759A1">
        <w:rPr>
          <w:rFonts w:ascii="Arial" w:eastAsia="Calibri" w:hAnsi="Arial" w:cs="Arial"/>
          <w:bCs/>
          <w:sz w:val="21"/>
          <w:szCs w:val="21"/>
        </w:rPr>
        <w:t>net-zero</w:t>
      </w:r>
      <w:r w:rsidRPr="004C27DF">
        <w:rPr>
          <w:rFonts w:ascii="Arial" w:eastAsia="Calibri" w:hAnsi="Arial" w:cs="Arial"/>
          <w:bCs/>
          <w:sz w:val="21"/>
          <w:szCs w:val="21"/>
        </w:rPr>
        <w:t xml:space="preserve"> network investment costs. The primary need for drivers in the future transmission charging framework are therefore the cost drivers and how these can provide predictability and equity in their investment signal. </w:t>
      </w:r>
    </w:p>
    <w:p w14:paraId="39508A57" w14:textId="27F495C9"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Additional drivers could be to value the carbon benefit of the generation type and the flexibility, or other operational benefit of the source, to meet network needs. For example, a hybrid site such as a traditional pump-storage site or hydrogen generation or BESS situated beside wind or solar generation. Demand sites that provide </w:t>
      </w:r>
      <w:r w:rsidR="00F759A1">
        <w:rPr>
          <w:rFonts w:ascii="Arial" w:eastAsia="Calibri" w:hAnsi="Arial" w:cs="Arial"/>
          <w:bCs/>
          <w:sz w:val="21"/>
          <w:szCs w:val="21"/>
        </w:rPr>
        <w:t>‘</w:t>
      </w:r>
      <w:r w:rsidRPr="004C27DF">
        <w:rPr>
          <w:rFonts w:ascii="Arial" w:eastAsia="Calibri" w:hAnsi="Arial" w:cs="Arial"/>
          <w:bCs/>
          <w:sz w:val="21"/>
          <w:szCs w:val="21"/>
        </w:rPr>
        <w:t>behind the meter</w:t>
      </w:r>
      <w:r w:rsidR="00F759A1">
        <w:rPr>
          <w:rFonts w:ascii="Arial" w:eastAsia="Calibri" w:hAnsi="Arial" w:cs="Arial"/>
          <w:bCs/>
          <w:sz w:val="21"/>
          <w:szCs w:val="21"/>
        </w:rPr>
        <w:t>’</w:t>
      </w:r>
      <w:r w:rsidRPr="004C27DF">
        <w:rPr>
          <w:rFonts w:ascii="Arial" w:eastAsia="Calibri" w:hAnsi="Arial" w:cs="Arial"/>
          <w:bCs/>
          <w:sz w:val="21"/>
          <w:szCs w:val="21"/>
        </w:rPr>
        <w:t xml:space="preserve"> generation can be similarly assessed. The extent to which these sites can be managed to mitigate constraint costs could be given a value. </w:t>
      </w:r>
      <w:r w:rsidR="00E929EC" w:rsidRPr="00E929EC">
        <w:rPr>
          <w:rFonts w:ascii="Arial" w:eastAsia="Calibri" w:hAnsi="Arial" w:cs="Arial"/>
          <w:bCs/>
          <w:sz w:val="21"/>
          <w:szCs w:val="21"/>
        </w:rPr>
        <w:t>Similar in importance is the question of TNUoS charges reflecting planned future network conditions</w:t>
      </w:r>
      <w:r w:rsidR="00F759A1">
        <w:rPr>
          <w:rFonts w:ascii="Arial" w:eastAsia="Calibri" w:hAnsi="Arial" w:cs="Arial"/>
          <w:bCs/>
          <w:sz w:val="21"/>
          <w:szCs w:val="21"/>
        </w:rPr>
        <w:t>.</w:t>
      </w:r>
    </w:p>
    <w:p w14:paraId="61D7F02A" w14:textId="386168CE" w:rsidR="004C27DF" w:rsidRPr="005D4746" w:rsidRDefault="004C27DF" w:rsidP="004C27DF">
      <w:pPr>
        <w:rPr>
          <w:rFonts w:ascii="Arial" w:eastAsia="Calibri" w:hAnsi="Arial" w:cs="Arial"/>
          <w:b/>
          <w:sz w:val="21"/>
          <w:szCs w:val="21"/>
        </w:rPr>
      </w:pPr>
      <w:r w:rsidRPr="005D4746">
        <w:rPr>
          <w:rFonts w:ascii="Arial" w:eastAsia="Calibri" w:hAnsi="Arial" w:cs="Arial"/>
          <w:b/>
          <w:sz w:val="21"/>
          <w:szCs w:val="21"/>
        </w:rPr>
        <w:t>6</w:t>
      </w:r>
      <w:r w:rsidR="005D4746" w:rsidRPr="005D4746">
        <w:rPr>
          <w:rFonts w:ascii="Arial" w:eastAsia="Calibri" w:hAnsi="Arial" w:cs="Arial"/>
          <w:b/>
          <w:sz w:val="21"/>
          <w:szCs w:val="21"/>
        </w:rPr>
        <w:t>.</w:t>
      </w:r>
      <w:r w:rsidRPr="005D4746">
        <w:rPr>
          <w:rFonts w:ascii="Arial" w:eastAsia="Calibri" w:hAnsi="Arial" w:cs="Arial"/>
          <w:b/>
          <w:sz w:val="21"/>
          <w:szCs w:val="21"/>
        </w:rPr>
        <w:t xml:space="preserve"> Do you have any views on which of these approaches would be more effective, considering the energy transition? </w:t>
      </w:r>
    </w:p>
    <w:p w14:paraId="34255CD1" w14:textId="31571655"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Appropriate valuation of constraints and system losses, optimising investment in and use of the network, and incentivising development of low carbon renewable generation are all essential to </w:t>
      </w:r>
      <w:r w:rsidR="003E3D01">
        <w:rPr>
          <w:rFonts w:ascii="Arial" w:eastAsia="Calibri" w:hAnsi="Arial" w:cs="Arial"/>
          <w:bCs/>
          <w:sz w:val="21"/>
          <w:szCs w:val="21"/>
        </w:rPr>
        <w:t>achieving</w:t>
      </w:r>
      <w:r w:rsidRPr="004C27DF">
        <w:rPr>
          <w:rFonts w:ascii="Arial" w:eastAsia="Calibri" w:hAnsi="Arial" w:cs="Arial"/>
          <w:bCs/>
          <w:sz w:val="21"/>
          <w:szCs w:val="21"/>
        </w:rPr>
        <w:t xml:space="preserve"> a net zero system. The transmission charging framework cannot do all these things but needs to be at least neutral if not positive in supporting these ambitions. It cannot do everything </w:t>
      </w:r>
      <w:r w:rsidR="003E3D01">
        <w:rPr>
          <w:rFonts w:ascii="Arial" w:eastAsia="Calibri" w:hAnsi="Arial" w:cs="Arial"/>
          <w:bCs/>
          <w:sz w:val="21"/>
          <w:szCs w:val="21"/>
        </w:rPr>
        <w:t>but</w:t>
      </w:r>
      <w:r w:rsidRPr="004C27DF">
        <w:rPr>
          <w:rFonts w:ascii="Arial" w:eastAsia="Calibri" w:hAnsi="Arial" w:cs="Arial"/>
          <w:bCs/>
          <w:sz w:val="21"/>
          <w:szCs w:val="21"/>
        </w:rPr>
        <w:t xml:space="preserve"> should focus on predictable and equitable </w:t>
      </w:r>
      <w:r w:rsidR="003E3D01">
        <w:rPr>
          <w:rFonts w:ascii="Arial" w:eastAsia="Calibri" w:hAnsi="Arial" w:cs="Arial"/>
          <w:bCs/>
          <w:sz w:val="21"/>
          <w:szCs w:val="21"/>
        </w:rPr>
        <w:t>cost</w:t>
      </w:r>
      <w:r w:rsidRPr="004C27DF">
        <w:rPr>
          <w:rFonts w:ascii="Arial" w:eastAsia="Calibri" w:hAnsi="Arial" w:cs="Arial"/>
          <w:bCs/>
          <w:sz w:val="21"/>
          <w:szCs w:val="21"/>
        </w:rPr>
        <w:t xml:space="preserve"> drivers, with long term resets appropriate to the benefits different User types bring to a net zero system</w:t>
      </w:r>
      <w:r w:rsidR="003E3D01">
        <w:rPr>
          <w:rFonts w:ascii="Arial" w:eastAsia="Calibri" w:hAnsi="Arial" w:cs="Arial"/>
          <w:bCs/>
          <w:sz w:val="21"/>
          <w:szCs w:val="21"/>
        </w:rPr>
        <w:t>.</w:t>
      </w:r>
    </w:p>
    <w:p w14:paraId="18668470"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Developing alternatives to the expansion approach need to be identified. The proposals to consider network losses may create the same problem. Connecting at the periphery of the network may still be penalised due to higher losses although with the changing network flows this could be a more equitable approach.</w:t>
      </w:r>
    </w:p>
    <w:p w14:paraId="2FF36D3E" w14:textId="5B2850F6" w:rsidR="004C27DF" w:rsidRPr="00F6146E" w:rsidRDefault="004C27DF" w:rsidP="004C27DF">
      <w:pPr>
        <w:rPr>
          <w:rFonts w:ascii="Arial" w:eastAsia="Calibri" w:hAnsi="Arial" w:cs="Arial"/>
          <w:b/>
          <w:sz w:val="21"/>
          <w:szCs w:val="21"/>
        </w:rPr>
      </w:pPr>
      <w:r w:rsidRPr="00F6146E">
        <w:rPr>
          <w:rFonts w:ascii="Arial" w:eastAsia="Calibri" w:hAnsi="Arial" w:cs="Arial"/>
          <w:b/>
          <w:sz w:val="21"/>
          <w:szCs w:val="21"/>
        </w:rPr>
        <w:lastRenderedPageBreak/>
        <w:t>7</w:t>
      </w:r>
      <w:r w:rsidR="00F6146E" w:rsidRPr="00F6146E">
        <w:rPr>
          <w:rFonts w:ascii="Arial" w:eastAsia="Calibri" w:hAnsi="Arial" w:cs="Arial"/>
          <w:b/>
          <w:sz w:val="21"/>
          <w:szCs w:val="21"/>
        </w:rPr>
        <w:t>.</w:t>
      </w:r>
      <w:r w:rsidRPr="00F6146E">
        <w:rPr>
          <w:rFonts w:ascii="Arial" w:eastAsia="Calibri" w:hAnsi="Arial" w:cs="Arial"/>
          <w:b/>
          <w:sz w:val="21"/>
          <w:szCs w:val="21"/>
        </w:rPr>
        <w:t xml:space="preserve"> Do you agree that TNUoS charges should reflect planned future network conditions rather than actual network conditions? </w:t>
      </w:r>
    </w:p>
    <w:p w14:paraId="28B2B1FA" w14:textId="185DD81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Yes, </w:t>
      </w:r>
      <w:r w:rsidR="001E61AE">
        <w:rPr>
          <w:rFonts w:ascii="Arial" w:eastAsia="Calibri" w:hAnsi="Arial" w:cs="Arial"/>
          <w:bCs/>
          <w:sz w:val="21"/>
          <w:szCs w:val="21"/>
        </w:rPr>
        <w:t>w</w:t>
      </w:r>
      <w:r w:rsidR="001E61AE" w:rsidRPr="001E61AE">
        <w:rPr>
          <w:rFonts w:ascii="Arial" w:eastAsia="Calibri" w:hAnsi="Arial" w:cs="Arial"/>
          <w:bCs/>
          <w:sz w:val="21"/>
          <w:szCs w:val="21"/>
        </w:rPr>
        <w:t>e strongly agree that network charging should be designed in consideration of the future planned network.</w:t>
      </w:r>
      <w:r w:rsidR="001E61AE">
        <w:rPr>
          <w:rFonts w:ascii="Arial" w:eastAsia="Calibri" w:hAnsi="Arial" w:cs="Arial"/>
          <w:bCs/>
          <w:sz w:val="21"/>
          <w:szCs w:val="21"/>
        </w:rPr>
        <w:t xml:space="preserve"> </w:t>
      </w:r>
      <w:r w:rsidRPr="004C27DF">
        <w:rPr>
          <w:rFonts w:ascii="Arial" w:eastAsia="Calibri" w:hAnsi="Arial" w:cs="Arial"/>
          <w:bCs/>
          <w:sz w:val="21"/>
          <w:szCs w:val="21"/>
        </w:rPr>
        <w:t xml:space="preserve">Ofgem’s proposal that use of system charges should aim to reflect the forecasted future planned network, rather than today’s methodology of the current network can improve predictability, and therefore has merit in this respect. It is unclear yet as to whether introducing a deeper connection charge would be effective, but this could provide a more equitable spread of costs. </w:t>
      </w:r>
    </w:p>
    <w:p w14:paraId="6A627E1D" w14:textId="65F34C2B" w:rsidR="004C27DF" w:rsidRPr="00F6146E" w:rsidRDefault="004C27DF" w:rsidP="004C27DF">
      <w:pPr>
        <w:rPr>
          <w:rFonts w:ascii="Arial" w:eastAsia="Calibri" w:hAnsi="Arial" w:cs="Arial"/>
          <w:b/>
          <w:sz w:val="21"/>
          <w:szCs w:val="21"/>
        </w:rPr>
      </w:pPr>
      <w:r w:rsidRPr="00F6146E">
        <w:rPr>
          <w:rFonts w:ascii="Arial" w:eastAsia="Calibri" w:hAnsi="Arial" w:cs="Arial"/>
          <w:b/>
          <w:sz w:val="21"/>
          <w:szCs w:val="21"/>
        </w:rPr>
        <w:t>8</w:t>
      </w:r>
      <w:r w:rsidR="00F6146E" w:rsidRPr="00F6146E">
        <w:rPr>
          <w:rFonts w:ascii="Arial" w:eastAsia="Calibri" w:hAnsi="Arial" w:cs="Arial"/>
          <w:b/>
          <w:sz w:val="21"/>
          <w:szCs w:val="21"/>
        </w:rPr>
        <w:t>.</w:t>
      </w:r>
      <w:r w:rsidRPr="00F6146E">
        <w:rPr>
          <w:rFonts w:ascii="Arial" w:eastAsia="Calibri" w:hAnsi="Arial" w:cs="Arial"/>
          <w:b/>
          <w:sz w:val="21"/>
          <w:szCs w:val="21"/>
        </w:rPr>
        <w:t xml:space="preserve"> Do you agree that the frequency of reset should be longer than ‘real-time’, to ensure an effective investment signal can be </w:t>
      </w:r>
      <w:commentRangeStart w:id="1"/>
      <w:r w:rsidRPr="00F6146E">
        <w:rPr>
          <w:rFonts w:ascii="Arial" w:eastAsia="Calibri" w:hAnsi="Arial" w:cs="Arial"/>
          <w:b/>
          <w:sz w:val="21"/>
          <w:szCs w:val="21"/>
        </w:rPr>
        <w:t xml:space="preserve">sent? </w:t>
      </w:r>
      <w:commentRangeEnd w:id="1"/>
      <w:r w:rsidR="00320762">
        <w:rPr>
          <w:rStyle w:val="CommentReference"/>
        </w:rPr>
        <w:commentReference w:id="1"/>
      </w:r>
    </w:p>
    <w:p w14:paraId="5F8D0483"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To achieve the predictability longer term resets are much more beneficial. The potential for a longer term TNUoS contract so that charges faced by some categories of network users are stable for </w:t>
      </w:r>
      <w:proofErr w:type="gramStart"/>
      <w:r w:rsidRPr="004C27DF">
        <w:rPr>
          <w:rFonts w:ascii="Arial" w:eastAsia="Calibri" w:hAnsi="Arial" w:cs="Arial"/>
          <w:bCs/>
          <w:sz w:val="21"/>
          <w:szCs w:val="21"/>
        </w:rPr>
        <w:t>a period of time</w:t>
      </w:r>
      <w:proofErr w:type="gramEnd"/>
      <w:r w:rsidRPr="004C27DF">
        <w:rPr>
          <w:rFonts w:ascii="Arial" w:eastAsia="Calibri" w:hAnsi="Arial" w:cs="Arial"/>
          <w:bCs/>
          <w:sz w:val="21"/>
          <w:szCs w:val="21"/>
        </w:rPr>
        <w:t xml:space="preserve"> after connection could support this. OFTO’s benefit from such an approach and should be considered for other users.</w:t>
      </w:r>
    </w:p>
    <w:p w14:paraId="3FF2F799" w14:textId="32DD4C8F" w:rsidR="004C27DF" w:rsidRPr="00F6146E" w:rsidRDefault="004C27DF" w:rsidP="004C27DF">
      <w:pPr>
        <w:rPr>
          <w:rFonts w:ascii="Arial" w:eastAsia="Calibri" w:hAnsi="Arial" w:cs="Arial"/>
          <w:b/>
          <w:sz w:val="21"/>
          <w:szCs w:val="21"/>
        </w:rPr>
      </w:pPr>
      <w:r w:rsidRPr="00F6146E">
        <w:rPr>
          <w:rFonts w:ascii="Arial" w:eastAsia="Calibri" w:hAnsi="Arial" w:cs="Arial"/>
          <w:b/>
          <w:sz w:val="21"/>
          <w:szCs w:val="21"/>
        </w:rPr>
        <w:t>9</w:t>
      </w:r>
      <w:r w:rsidR="00F6146E" w:rsidRPr="00F6146E">
        <w:rPr>
          <w:rFonts w:ascii="Arial" w:eastAsia="Calibri" w:hAnsi="Arial" w:cs="Arial"/>
          <w:b/>
          <w:sz w:val="21"/>
          <w:szCs w:val="21"/>
        </w:rPr>
        <w:t>.</w:t>
      </w:r>
      <w:r w:rsidRPr="00F6146E">
        <w:rPr>
          <w:rFonts w:ascii="Arial" w:eastAsia="Calibri" w:hAnsi="Arial" w:cs="Arial"/>
          <w:b/>
          <w:sz w:val="21"/>
          <w:szCs w:val="21"/>
        </w:rPr>
        <w:t xml:space="preserve"> Have you any views on how trade-offs between predictability and cost-reflectivity in considerations of how frequently network charges should be reset should be managed? </w:t>
      </w:r>
    </w:p>
    <w:p w14:paraId="67117289" w14:textId="7775B2A5"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See </w:t>
      </w:r>
      <w:r w:rsidR="00BC1230">
        <w:rPr>
          <w:rFonts w:ascii="Arial" w:eastAsia="Calibri" w:hAnsi="Arial" w:cs="Arial"/>
          <w:bCs/>
          <w:sz w:val="21"/>
          <w:szCs w:val="21"/>
        </w:rPr>
        <w:t xml:space="preserve">the </w:t>
      </w:r>
      <w:r w:rsidRPr="004C27DF">
        <w:rPr>
          <w:rFonts w:ascii="Arial" w:eastAsia="Calibri" w:hAnsi="Arial" w:cs="Arial"/>
          <w:bCs/>
          <w:sz w:val="21"/>
          <w:szCs w:val="21"/>
        </w:rPr>
        <w:t xml:space="preserve">response to </w:t>
      </w:r>
      <w:r w:rsidR="00BC1230">
        <w:rPr>
          <w:rFonts w:ascii="Arial" w:eastAsia="Calibri" w:hAnsi="Arial" w:cs="Arial"/>
          <w:bCs/>
          <w:sz w:val="21"/>
          <w:szCs w:val="21"/>
        </w:rPr>
        <w:t xml:space="preserve">the </w:t>
      </w:r>
      <w:r w:rsidRPr="004C27DF">
        <w:rPr>
          <w:rFonts w:ascii="Arial" w:eastAsia="Calibri" w:hAnsi="Arial" w:cs="Arial"/>
          <w:bCs/>
          <w:sz w:val="21"/>
          <w:szCs w:val="21"/>
        </w:rPr>
        <w:t xml:space="preserve">previous </w:t>
      </w:r>
      <w:r w:rsidR="00F7014C" w:rsidRPr="004C27DF">
        <w:rPr>
          <w:rFonts w:ascii="Arial" w:eastAsia="Calibri" w:hAnsi="Arial" w:cs="Arial"/>
          <w:bCs/>
          <w:sz w:val="21"/>
          <w:szCs w:val="21"/>
        </w:rPr>
        <w:t>question.</w:t>
      </w:r>
      <w:r w:rsidRPr="004C27DF">
        <w:rPr>
          <w:rFonts w:ascii="Arial" w:eastAsia="Calibri" w:hAnsi="Arial" w:cs="Arial"/>
          <w:bCs/>
          <w:sz w:val="21"/>
          <w:szCs w:val="21"/>
        </w:rPr>
        <w:t xml:space="preserve"> </w:t>
      </w:r>
    </w:p>
    <w:p w14:paraId="2363D653" w14:textId="77777777" w:rsidR="004C27DF" w:rsidRDefault="004C27DF" w:rsidP="004C27DF">
      <w:pPr>
        <w:rPr>
          <w:rFonts w:ascii="Arial" w:eastAsia="Calibri" w:hAnsi="Arial" w:cs="Arial"/>
          <w:b/>
          <w:sz w:val="21"/>
          <w:szCs w:val="21"/>
        </w:rPr>
      </w:pPr>
      <w:r w:rsidRPr="00BC1230">
        <w:rPr>
          <w:rFonts w:ascii="Arial" w:eastAsia="Calibri" w:hAnsi="Arial" w:cs="Arial"/>
          <w:b/>
          <w:sz w:val="21"/>
          <w:szCs w:val="21"/>
        </w:rPr>
        <w:t>Key questions for transmission charge design</w:t>
      </w:r>
    </w:p>
    <w:p w14:paraId="5B3ABCB9" w14:textId="5911BBE9" w:rsidR="004C27DF" w:rsidRPr="00BC1230" w:rsidRDefault="004C27DF" w:rsidP="004C27DF">
      <w:pPr>
        <w:rPr>
          <w:rFonts w:ascii="Arial" w:eastAsia="Calibri" w:hAnsi="Arial" w:cs="Arial"/>
          <w:b/>
          <w:sz w:val="21"/>
          <w:szCs w:val="21"/>
        </w:rPr>
      </w:pPr>
      <w:r w:rsidRPr="00BC1230">
        <w:rPr>
          <w:rFonts w:ascii="Arial" w:eastAsia="Calibri" w:hAnsi="Arial" w:cs="Arial"/>
          <w:b/>
          <w:sz w:val="21"/>
          <w:szCs w:val="21"/>
        </w:rPr>
        <w:t>10</w:t>
      </w:r>
      <w:r w:rsidR="00BC1230" w:rsidRPr="00BC1230">
        <w:rPr>
          <w:rFonts w:ascii="Arial" w:eastAsia="Calibri" w:hAnsi="Arial" w:cs="Arial"/>
          <w:b/>
          <w:sz w:val="21"/>
          <w:szCs w:val="21"/>
        </w:rPr>
        <w:t>.</w:t>
      </w:r>
      <w:r w:rsidRPr="00BC1230">
        <w:rPr>
          <w:rFonts w:ascii="Arial" w:eastAsia="Calibri" w:hAnsi="Arial" w:cs="Arial"/>
          <w:b/>
          <w:sz w:val="21"/>
          <w:szCs w:val="21"/>
        </w:rPr>
        <w:t xml:space="preserve"> Is there an enduring justification for paying credits to generators, specific to their siting location, through their transmission </w:t>
      </w:r>
      <w:commentRangeStart w:id="2"/>
      <w:r w:rsidRPr="00BC1230">
        <w:rPr>
          <w:rFonts w:ascii="Arial" w:eastAsia="Calibri" w:hAnsi="Arial" w:cs="Arial"/>
          <w:b/>
          <w:sz w:val="21"/>
          <w:szCs w:val="21"/>
        </w:rPr>
        <w:t xml:space="preserve">charges? </w:t>
      </w:r>
      <w:commentRangeEnd w:id="2"/>
      <w:r w:rsidR="00F852EE">
        <w:rPr>
          <w:rStyle w:val="CommentReference"/>
        </w:rPr>
        <w:commentReference w:id="2"/>
      </w:r>
    </w:p>
    <w:p w14:paraId="41119AD3"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The current charging methodology makes such payment inevitable and highlights why it needs to change. The allocation of the cost of funding transmission network upgrades must provide a level playing field for investment in the renewable energy that will deliver the GB net zero targets. Under the existing regime this is not happening.</w:t>
      </w:r>
    </w:p>
    <w:p w14:paraId="0EA9C050"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The principle of cost reflectivity is not being achieved under the current methodology. The transmission network has changed radically from the “top down” flows from supply to demand with advent of disaggregated and distributed generation sources. Energy flow is often from lower to higher voltages and frequently from south to north. Network upgrades that meet these new flows are not necessarily extending the network at its periphery but reinforcing its capacity throughout the network.</w:t>
      </w:r>
    </w:p>
    <w:p w14:paraId="33526F08" w14:textId="20768BE3" w:rsidR="004C27DF" w:rsidRPr="001B4BDE" w:rsidRDefault="004C27DF" w:rsidP="004C27DF">
      <w:pPr>
        <w:rPr>
          <w:rFonts w:ascii="Arial" w:eastAsia="Calibri" w:hAnsi="Arial" w:cs="Arial"/>
          <w:b/>
          <w:sz w:val="21"/>
          <w:szCs w:val="21"/>
        </w:rPr>
      </w:pPr>
      <w:r w:rsidRPr="001B4BDE">
        <w:rPr>
          <w:rFonts w:ascii="Arial" w:eastAsia="Calibri" w:hAnsi="Arial" w:cs="Arial"/>
          <w:b/>
          <w:sz w:val="21"/>
          <w:szCs w:val="21"/>
        </w:rPr>
        <w:lastRenderedPageBreak/>
        <w:t>11</w:t>
      </w:r>
      <w:r w:rsidR="001B4BDE" w:rsidRPr="001B4BDE">
        <w:rPr>
          <w:rFonts w:ascii="Arial" w:eastAsia="Calibri" w:hAnsi="Arial" w:cs="Arial"/>
          <w:b/>
          <w:sz w:val="21"/>
          <w:szCs w:val="21"/>
        </w:rPr>
        <w:t>.</w:t>
      </w:r>
      <w:r w:rsidRPr="001B4BDE">
        <w:rPr>
          <w:rFonts w:ascii="Arial" w:eastAsia="Calibri" w:hAnsi="Arial" w:cs="Arial"/>
          <w:b/>
          <w:sz w:val="21"/>
          <w:szCs w:val="21"/>
        </w:rPr>
        <w:t xml:space="preserve"> How should the distinct characteristics of storage assets be reflected in their treatment in network charging, to encourage optimal investment outcomes across the large storage development pipeline? </w:t>
      </w:r>
    </w:p>
    <w:p w14:paraId="4F2C8A25" w14:textId="490D68F9" w:rsidR="00D9588F" w:rsidRDefault="004C27DF" w:rsidP="00D9588F">
      <w:pPr>
        <w:rPr>
          <w:rFonts w:ascii="Arial" w:eastAsia="Calibri" w:hAnsi="Arial" w:cs="Arial"/>
          <w:bCs/>
          <w:sz w:val="21"/>
          <w:szCs w:val="21"/>
        </w:rPr>
      </w:pPr>
      <w:r w:rsidRPr="004C27DF">
        <w:rPr>
          <w:rFonts w:ascii="Arial" w:eastAsia="Calibri" w:hAnsi="Arial" w:cs="Arial"/>
          <w:bCs/>
          <w:sz w:val="21"/>
          <w:szCs w:val="21"/>
        </w:rPr>
        <w:t xml:space="preserve">Storage should not be treated in the same way as other generation sources in terms of allocating network capacity. Consideration </w:t>
      </w:r>
      <w:r w:rsidR="00536E36">
        <w:rPr>
          <w:rFonts w:ascii="Arial" w:eastAsia="Calibri" w:hAnsi="Arial" w:cs="Arial"/>
          <w:bCs/>
          <w:sz w:val="21"/>
          <w:szCs w:val="21"/>
        </w:rPr>
        <w:t>of</w:t>
      </w:r>
      <w:r w:rsidRPr="004C27DF">
        <w:rPr>
          <w:rFonts w:ascii="Arial" w:eastAsia="Calibri" w:hAnsi="Arial" w:cs="Arial"/>
          <w:bCs/>
          <w:sz w:val="21"/>
          <w:szCs w:val="21"/>
        </w:rPr>
        <w:t xml:space="preserve"> its operational service and impact on the network needs to be incorporated </w:t>
      </w:r>
      <w:r w:rsidR="00536E36">
        <w:rPr>
          <w:rFonts w:ascii="Arial" w:eastAsia="Calibri" w:hAnsi="Arial" w:cs="Arial"/>
          <w:bCs/>
          <w:sz w:val="21"/>
          <w:szCs w:val="21"/>
        </w:rPr>
        <w:t>into</w:t>
      </w:r>
      <w:r w:rsidRPr="004C27DF">
        <w:rPr>
          <w:rFonts w:ascii="Arial" w:eastAsia="Calibri" w:hAnsi="Arial" w:cs="Arial"/>
          <w:bCs/>
          <w:sz w:val="21"/>
          <w:szCs w:val="21"/>
        </w:rPr>
        <w:t xml:space="preserve"> the methodology and charging regime, thereby releasing network capacity for other types of </w:t>
      </w:r>
      <w:proofErr w:type="gramStart"/>
      <w:r w:rsidRPr="004C27DF">
        <w:rPr>
          <w:rFonts w:ascii="Arial" w:eastAsia="Calibri" w:hAnsi="Arial" w:cs="Arial"/>
          <w:bCs/>
          <w:sz w:val="21"/>
          <w:szCs w:val="21"/>
        </w:rPr>
        <w:t>Users</w:t>
      </w:r>
      <w:proofErr w:type="gramEnd"/>
      <w:r w:rsidRPr="004C27DF">
        <w:rPr>
          <w:rFonts w:ascii="Arial" w:eastAsia="Calibri" w:hAnsi="Arial" w:cs="Arial"/>
          <w:bCs/>
          <w:sz w:val="21"/>
          <w:szCs w:val="21"/>
        </w:rPr>
        <w:t xml:space="preserve"> and reducing the connections queue. </w:t>
      </w:r>
    </w:p>
    <w:p w14:paraId="7AB82314" w14:textId="52DBA3ED" w:rsidR="00D9588F" w:rsidRPr="00D9588F" w:rsidRDefault="00D9588F" w:rsidP="00D9588F">
      <w:pPr>
        <w:rPr>
          <w:rFonts w:ascii="Arial" w:eastAsia="Calibri" w:hAnsi="Arial" w:cs="Arial"/>
          <w:bCs/>
          <w:sz w:val="21"/>
          <w:szCs w:val="21"/>
        </w:rPr>
      </w:pPr>
      <w:r w:rsidRPr="00D9588F">
        <w:rPr>
          <w:rFonts w:ascii="Arial" w:eastAsia="Calibri" w:hAnsi="Arial" w:cs="Arial"/>
          <w:bCs/>
          <w:sz w:val="21"/>
          <w:szCs w:val="21"/>
        </w:rPr>
        <w:t xml:space="preserve">Transmission network charges should be designed to avoid any distortion or undue </w:t>
      </w:r>
      <w:proofErr w:type="spellStart"/>
      <w:r w:rsidRPr="00D9588F">
        <w:rPr>
          <w:rFonts w:ascii="Arial" w:eastAsia="Calibri" w:hAnsi="Arial" w:cs="Arial"/>
          <w:bCs/>
          <w:sz w:val="21"/>
          <w:szCs w:val="21"/>
        </w:rPr>
        <w:t>deterrant</w:t>
      </w:r>
      <w:proofErr w:type="spellEnd"/>
      <w:r w:rsidRPr="00D9588F">
        <w:rPr>
          <w:rFonts w:ascii="Arial" w:eastAsia="Calibri" w:hAnsi="Arial" w:cs="Arial"/>
          <w:bCs/>
          <w:sz w:val="21"/>
          <w:szCs w:val="21"/>
        </w:rPr>
        <w:t xml:space="preserve"> for storage to fully participate in relevant markets/mechanisms for operational dispatch – whether wholesale, local flexibility, reformed BM or similar.</w:t>
      </w:r>
    </w:p>
    <w:p w14:paraId="79F21F82" w14:textId="235E5232" w:rsidR="004C27DF" w:rsidRPr="001B4BDE" w:rsidRDefault="004C27DF" w:rsidP="004C27DF">
      <w:pPr>
        <w:rPr>
          <w:rFonts w:ascii="Arial" w:eastAsia="Calibri" w:hAnsi="Arial" w:cs="Arial"/>
          <w:b/>
          <w:sz w:val="21"/>
          <w:szCs w:val="21"/>
        </w:rPr>
      </w:pPr>
      <w:r w:rsidRPr="001B4BDE">
        <w:rPr>
          <w:rFonts w:ascii="Arial" w:eastAsia="Calibri" w:hAnsi="Arial" w:cs="Arial"/>
          <w:b/>
          <w:sz w:val="21"/>
          <w:szCs w:val="21"/>
        </w:rPr>
        <w:t>12</w:t>
      </w:r>
      <w:r w:rsidR="001B4BDE" w:rsidRPr="001B4BDE">
        <w:rPr>
          <w:rFonts w:ascii="Arial" w:eastAsia="Calibri" w:hAnsi="Arial" w:cs="Arial"/>
          <w:b/>
          <w:sz w:val="21"/>
          <w:szCs w:val="21"/>
        </w:rPr>
        <w:t>.</w:t>
      </w:r>
      <w:r w:rsidRPr="001B4BDE">
        <w:rPr>
          <w:rFonts w:ascii="Arial" w:eastAsia="Calibri" w:hAnsi="Arial" w:cs="Arial"/>
          <w:b/>
          <w:sz w:val="21"/>
          <w:szCs w:val="21"/>
        </w:rPr>
        <w:t xml:space="preserve"> Within the range of storage assets, what distinctions should be </w:t>
      </w:r>
      <w:proofErr w:type="gramStart"/>
      <w:r w:rsidRPr="001B4BDE">
        <w:rPr>
          <w:rFonts w:ascii="Arial" w:eastAsia="Calibri" w:hAnsi="Arial" w:cs="Arial"/>
          <w:b/>
          <w:sz w:val="21"/>
          <w:szCs w:val="21"/>
        </w:rPr>
        <w:t>taken into account</w:t>
      </w:r>
      <w:proofErr w:type="gramEnd"/>
      <w:r w:rsidRPr="001B4BDE">
        <w:rPr>
          <w:rFonts w:ascii="Arial" w:eastAsia="Calibri" w:hAnsi="Arial" w:cs="Arial"/>
          <w:b/>
          <w:sz w:val="21"/>
          <w:szCs w:val="21"/>
        </w:rPr>
        <w:t xml:space="preserve"> in the charging approach? </w:t>
      </w:r>
    </w:p>
    <w:p w14:paraId="58AFC1B9"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The capability of a given storage asset to meet short term operational needs and service provisions for the network should be supported by the charging methodology. The development and operation of hybrid sites with mixed demand and generation sources including storage, which can provide multiple network services, should also be encouraged.</w:t>
      </w:r>
    </w:p>
    <w:p w14:paraId="65975A4D" w14:textId="5FD17D82" w:rsidR="004C27DF" w:rsidRPr="001B4BDE" w:rsidRDefault="004C27DF" w:rsidP="004C27DF">
      <w:pPr>
        <w:rPr>
          <w:rFonts w:ascii="Arial" w:eastAsia="Calibri" w:hAnsi="Arial" w:cs="Arial"/>
          <w:b/>
          <w:sz w:val="21"/>
          <w:szCs w:val="21"/>
        </w:rPr>
      </w:pPr>
      <w:r w:rsidRPr="001B4BDE">
        <w:rPr>
          <w:rFonts w:ascii="Arial" w:eastAsia="Calibri" w:hAnsi="Arial" w:cs="Arial"/>
          <w:b/>
          <w:sz w:val="21"/>
          <w:szCs w:val="21"/>
        </w:rPr>
        <w:t>13</w:t>
      </w:r>
      <w:r w:rsidR="001B4BDE" w:rsidRPr="001B4BDE">
        <w:rPr>
          <w:rFonts w:ascii="Arial" w:eastAsia="Calibri" w:hAnsi="Arial" w:cs="Arial"/>
          <w:b/>
          <w:sz w:val="21"/>
          <w:szCs w:val="21"/>
        </w:rPr>
        <w:t>.</w:t>
      </w:r>
      <w:r w:rsidRPr="001B4BDE">
        <w:rPr>
          <w:rFonts w:ascii="Arial" w:eastAsia="Calibri" w:hAnsi="Arial" w:cs="Arial"/>
          <w:b/>
          <w:sz w:val="21"/>
          <w:szCs w:val="21"/>
        </w:rPr>
        <w:t xml:space="preserve"> To what extent should transmission charges send locational signals to large demand users of the network? </w:t>
      </w:r>
    </w:p>
    <w:p w14:paraId="7A70168F"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Demand that can mitigate transmission investment for example by being sited near generation should receive positive charging signals compared to demand that triggers investment. Consideration to encouraging hybrid sites where demand and generation can be managed and net off should also be considered as benefiting from a charging signal.  </w:t>
      </w:r>
    </w:p>
    <w:p w14:paraId="391E5CF1" w14:textId="371E7974" w:rsidR="004C27DF" w:rsidRPr="001B4BDE" w:rsidRDefault="001B4BDE" w:rsidP="004C27DF">
      <w:pPr>
        <w:rPr>
          <w:rFonts w:ascii="Arial" w:eastAsia="Calibri" w:hAnsi="Arial" w:cs="Arial"/>
          <w:b/>
          <w:sz w:val="21"/>
          <w:szCs w:val="21"/>
        </w:rPr>
      </w:pPr>
      <w:r w:rsidRPr="001B4BDE">
        <w:rPr>
          <w:rFonts w:ascii="Arial" w:eastAsia="Calibri" w:hAnsi="Arial" w:cs="Arial"/>
          <w:b/>
          <w:sz w:val="21"/>
          <w:szCs w:val="21"/>
        </w:rPr>
        <w:t>1</w:t>
      </w:r>
      <w:r w:rsidR="004C27DF" w:rsidRPr="001B4BDE">
        <w:rPr>
          <w:rFonts w:ascii="Arial" w:eastAsia="Calibri" w:hAnsi="Arial" w:cs="Arial"/>
          <w:b/>
          <w:sz w:val="21"/>
          <w:szCs w:val="21"/>
        </w:rPr>
        <w:t>4</w:t>
      </w:r>
      <w:r w:rsidRPr="001B4BDE">
        <w:rPr>
          <w:rFonts w:ascii="Arial" w:eastAsia="Calibri" w:hAnsi="Arial" w:cs="Arial"/>
          <w:b/>
          <w:sz w:val="21"/>
          <w:szCs w:val="21"/>
        </w:rPr>
        <w:t>.</w:t>
      </w:r>
      <w:r w:rsidR="004C27DF" w:rsidRPr="001B4BDE">
        <w:rPr>
          <w:rFonts w:ascii="Arial" w:eastAsia="Calibri" w:hAnsi="Arial" w:cs="Arial"/>
          <w:b/>
          <w:sz w:val="21"/>
          <w:szCs w:val="21"/>
        </w:rPr>
        <w:t xml:space="preserve"> What level of locational variation in charging is appropriate, for smaller demand users who are not generally expected to change siting decisions based on the signal? </w:t>
      </w:r>
    </w:p>
    <w:p w14:paraId="5CE06017" w14:textId="7C913D1D" w:rsidR="004C27DF" w:rsidRPr="004C27DF" w:rsidRDefault="001B4BDE" w:rsidP="004C27DF">
      <w:pPr>
        <w:rPr>
          <w:rFonts w:ascii="Arial" w:eastAsia="Calibri" w:hAnsi="Arial" w:cs="Arial"/>
          <w:bCs/>
          <w:sz w:val="21"/>
          <w:szCs w:val="21"/>
        </w:rPr>
      </w:pPr>
      <w:r>
        <w:rPr>
          <w:rFonts w:ascii="Arial" w:eastAsia="Calibri" w:hAnsi="Arial" w:cs="Arial"/>
          <w:bCs/>
          <w:sz w:val="21"/>
          <w:szCs w:val="21"/>
        </w:rPr>
        <w:t>L</w:t>
      </w:r>
      <w:r w:rsidR="004C27DF" w:rsidRPr="004C27DF">
        <w:rPr>
          <w:rFonts w:ascii="Arial" w:eastAsia="Calibri" w:hAnsi="Arial" w:cs="Arial"/>
          <w:bCs/>
          <w:sz w:val="21"/>
          <w:szCs w:val="21"/>
        </w:rPr>
        <w:t>ocational signals should only be given to users who can respond to the signal.</w:t>
      </w:r>
    </w:p>
    <w:p w14:paraId="26D34AB1" w14:textId="0F4FF922" w:rsidR="004C27DF" w:rsidRPr="001B4BDE" w:rsidRDefault="004C27DF" w:rsidP="004C27DF">
      <w:pPr>
        <w:rPr>
          <w:rFonts w:ascii="Arial" w:eastAsia="Calibri" w:hAnsi="Arial" w:cs="Arial"/>
          <w:b/>
          <w:sz w:val="21"/>
          <w:szCs w:val="21"/>
        </w:rPr>
      </w:pPr>
      <w:r w:rsidRPr="001B4BDE">
        <w:rPr>
          <w:rFonts w:ascii="Arial" w:eastAsia="Calibri" w:hAnsi="Arial" w:cs="Arial"/>
          <w:b/>
          <w:sz w:val="21"/>
          <w:szCs w:val="21"/>
        </w:rPr>
        <w:t>15</w:t>
      </w:r>
      <w:r w:rsidR="001B4BDE" w:rsidRPr="001B4BDE">
        <w:rPr>
          <w:rFonts w:ascii="Arial" w:eastAsia="Calibri" w:hAnsi="Arial" w:cs="Arial"/>
          <w:b/>
          <w:sz w:val="21"/>
          <w:szCs w:val="21"/>
        </w:rPr>
        <w:t>.</w:t>
      </w:r>
      <w:r w:rsidRPr="001B4BDE">
        <w:rPr>
          <w:rFonts w:ascii="Arial" w:eastAsia="Calibri" w:hAnsi="Arial" w:cs="Arial"/>
          <w:b/>
          <w:sz w:val="21"/>
          <w:szCs w:val="21"/>
        </w:rPr>
        <w:t xml:space="preserve"> If there are significant increases in the costs recovered through the residual charge, should </w:t>
      </w:r>
      <w:proofErr w:type="gramStart"/>
      <w:r w:rsidRPr="001B4BDE">
        <w:rPr>
          <w:rFonts w:ascii="Arial" w:eastAsia="Calibri" w:hAnsi="Arial" w:cs="Arial"/>
          <w:b/>
          <w:sz w:val="21"/>
          <w:szCs w:val="21"/>
        </w:rPr>
        <w:t>alternative</w:t>
      </w:r>
      <w:proofErr w:type="gramEnd"/>
      <w:r w:rsidRPr="001B4BDE">
        <w:rPr>
          <w:rFonts w:ascii="Arial" w:eastAsia="Calibri" w:hAnsi="Arial" w:cs="Arial"/>
          <w:b/>
          <w:sz w:val="21"/>
          <w:szCs w:val="21"/>
        </w:rPr>
        <w:t xml:space="preserve"> charge designs be </w:t>
      </w:r>
      <w:commentRangeStart w:id="3"/>
      <w:r w:rsidRPr="001B4BDE">
        <w:rPr>
          <w:rFonts w:ascii="Arial" w:eastAsia="Calibri" w:hAnsi="Arial" w:cs="Arial"/>
          <w:b/>
          <w:sz w:val="21"/>
          <w:szCs w:val="21"/>
        </w:rPr>
        <w:t>considered?</w:t>
      </w:r>
      <w:commentRangeEnd w:id="3"/>
      <w:r w:rsidR="00684941">
        <w:rPr>
          <w:rStyle w:val="CommentReference"/>
        </w:rPr>
        <w:commentReference w:id="3"/>
      </w:r>
    </w:p>
    <w:p w14:paraId="12E53734"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Transmission charges need to provide a level playing field for Users based on appropriate cost reflectivity and benefit they bring to the network and other Users. Increases to the residual charge may well be appropriate in this context but need to be shared proportionately on a usage or capacity basis. </w:t>
      </w:r>
    </w:p>
    <w:p w14:paraId="7E8383A1" w14:textId="0A154C38" w:rsidR="004C27DF" w:rsidRPr="001B4BDE" w:rsidRDefault="004C27DF" w:rsidP="004C27DF">
      <w:pPr>
        <w:rPr>
          <w:rFonts w:ascii="Arial" w:eastAsia="Calibri" w:hAnsi="Arial" w:cs="Arial"/>
          <w:b/>
          <w:sz w:val="21"/>
          <w:szCs w:val="21"/>
        </w:rPr>
      </w:pPr>
      <w:r w:rsidRPr="001B4BDE">
        <w:rPr>
          <w:rFonts w:ascii="Arial" w:eastAsia="Calibri" w:hAnsi="Arial" w:cs="Arial"/>
          <w:b/>
          <w:sz w:val="21"/>
          <w:szCs w:val="21"/>
        </w:rPr>
        <w:lastRenderedPageBreak/>
        <w:t xml:space="preserve">16 Should transmission network charges play a role in encouraging households and small businesses to make efficient investments in low carbon technologies? </w:t>
      </w:r>
    </w:p>
    <w:p w14:paraId="165DAB1B" w14:textId="7DA797D8" w:rsidR="004C27DF" w:rsidRPr="004C27DF" w:rsidRDefault="009A781E" w:rsidP="004C27DF">
      <w:pPr>
        <w:rPr>
          <w:rFonts w:ascii="Arial" w:eastAsia="Calibri" w:hAnsi="Arial" w:cs="Arial"/>
          <w:bCs/>
          <w:sz w:val="21"/>
          <w:szCs w:val="21"/>
        </w:rPr>
      </w:pPr>
      <w:r>
        <w:rPr>
          <w:rFonts w:ascii="Arial" w:eastAsia="Calibri" w:hAnsi="Arial" w:cs="Arial"/>
          <w:bCs/>
          <w:sz w:val="21"/>
          <w:szCs w:val="21"/>
        </w:rPr>
        <w:t>In principle, yes</w:t>
      </w:r>
      <w:r w:rsidR="004C27DF" w:rsidRPr="004C27DF">
        <w:rPr>
          <w:rFonts w:ascii="Arial" w:eastAsia="Calibri" w:hAnsi="Arial" w:cs="Arial"/>
          <w:bCs/>
          <w:sz w:val="21"/>
          <w:szCs w:val="21"/>
        </w:rPr>
        <w:t>, the ability to provide demand services to net off demand through behind the meter technologies should be encouraged.</w:t>
      </w:r>
    </w:p>
    <w:p w14:paraId="39E3D616" w14:textId="7748BEA2" w:rsidR="004C27DF" w:rsidRPr="001B4BDE" w:rsidRDefault="004C27DF" w:rsidP="004C27DF">
      <w:pPr>
        <w:rPr>
          <w:rFonts w:ascii="Arial" w:eastAsia="Calibri" w:hAnsi="Arial" w:cs="Arial"/>
          <w:b/>
          <w:sz w:val="21"/>
          <w:szCs w:val="21"/>
        </w:rPr>
      </w:pPr>
      <w:r w:rsidRPr="001B4BDE">
        <w:rPr>
          <w:rFonts w:ascii="Arial" w:eastAsia="Calibri" w:hAnsi="Arial" w:cs="Arial"/>
          <w:b/>
          <w:sz w:val="21"/>
          <w:szCs w:val="21"/>
        </w:rPr>
        <w:t xml:space="preserve">17 How should charges for large generators and large demand users at different voltages account for the increasing proportion of distributed generation and the changing nature of network flows? </w:t>
      </w:r>
    </w:p>
    <w:p w14:paraId="7498E1E1"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The transformation of the electricity system towards net zero carbon has diluted the differentiation of transmission and distribution assets. Voltage does not play such a definitive role in identifying how network assets are used and therefore charges are no longer appropriate to be calculated based on voltage alone. Similarly, investment in the network is triggered by users connecting at all voltages. Transmission and distribution investment costs can no longer be routinely allocated to users by their connection voltage. A proportionate, predictable, and affordable allocation of costs need to be developed. </w:t>
      </w:r>
    </w:p>
    <w:p w14:paraId="5D7698D6" w14:textId="77777777" w:rsidR="009A781E" w:rsidRDefault="009A781E" w:rsidP="004C27DF">
      <w:pPr>
        <w:rPr>
          <w:rFonts w:ascii="Arial" w:eastAsia="Calibri" w:hAnsi="Arial" w:cs="Arial"/>
          <w:b/>
          <w:sz w:val="21"/>
          <w:szCs w:val="21"/>
        </w:rPr>
      </w:pPr>
    </w:p>
    <w:p w14:paraId="33D7EEF5" w14:textId="5FDDDD10" w:rsidR="004C27DF" w:rsidRPr="001B4BDE" w:rsidRDefault="004C27DF" w:rsidP="004C27DF">
      <w:pPr>
        <w:rPr>
          <w:rFonts w:ascii="Arial" w:eastAsia="Calibri" w:hAnsi="Arial" w:cs="Arial"/>
          <w:b/>
          <w:sz w:val="21"/>
          <w:szCs w:val="21"/>
        </w:rPr>
      </w:pPr>
      <w:r w:rsidRPr="001B4BDE">
        <w:rPr>
          <w:rFonts w:ascii="Arial" w:eastAsia="Calibri" w:hAnsi="Arial" w:cs="Arial"/>
          <w:b/>
          <w:sz w:val="21"/>
          <w:szCs w:val="21"/>
        </w:rPr>
        <w:t>18</w:t>
      </w:r>
      <w:r w:rsidR="001B4BDE" w:rsidRPr="001B4BDE">
        <w:rPr>
          <w:rFonts w:ascii="Arial" w:eastAsia="Calibri" w:hAnsi="Arial" w:cs="Arial"/>
          <w:b/>
          <w:sz w:val="21"/>
          <w:szCs w:val="21"/>
        </w:rPr>
        <w:t>.</w:t>
      </w:r>
      <w:r w:rsidRPr="001B4BDE">
        <w:rPr>
          <w:rFonts w:ascii="Arial" w:eastAsia="Calibri" w:hAnsi="Arial" w:cs="Arial"/>
          <w:b/>
          <w:sz w:val="21"/>
          <w:szCs w:val="21"/>
        </w:rPr>
        <w:t xml:space="preserve"> Should there be greater alignment of charging obligations and methodologies for transmission- and distribution-connected assets, to encourage efficient connection voltage choices by generation and storage assets? </w:t>
      </w:r>
    </w:p>
    <w:p w14:paraId="7DF6F17C" w14:textId="48BD51A4"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As per </w:t>
      </w:r>
      <w:r w:rsidR="007B01AC">
        <w:rPr>
          <w:rFonts w:ascii="Arial" w:eastAsia="Calibri" w:hAnsi="Arial" w:cs="Arial"/>
          <w:bCs/>
          <w:sz w:val="21"/>
          <w:szCs w:val="21"/>
        </w:rPr>
        <w:t xml:space="preserve">the </w:t>
      </w:r>
      <w:r w:rsidRPr="004C27DF">
        <w:rPr>
          <w:rFonts w:ascii="Arial" w:eastAsia="Calibri" w:hAnsi="Arial" w:cs="Arial"/>
          <w:bCs/>
          <w:sz w:val="21"/>
          <w:szCs w:val="21"/>
        </w:rPr>
        <w:t xml:space="preserve">previous response, the distinction between transmission and distribution assets is blurring in electrical terms due to the changing network flows that arise from the proliferation and disaggregation of generation. It is appropriate to align commercial terms to provide a level playing field for users to connect. </w:t>
      </w:r>
    </w:p>
    <w:p w14:paraId="059B2301" w14:textId="77777777"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However, the scale if investment and duration of development of Users connecting at Distribution and transmission can vary enormously. Large transmission users need predictability of transmission charge whereas smaller lower voltage users may be able to respond and value different signals.</w:t>
      </w:r>
    </w:p>
    <w:p w14:paraId="2B9A81B5" w14:textId="77777777" w:rsidR="004C27DF" w:rsidRPr="004C27DF" w:rsidRDefault="004C27DF" w:rsidP="004C27DF">
      <w:pPr>
        <w:rPr>
          <w:rFonts w:ascii="Arial" w:eastAsia="Calibri" w:hAnsi="Arial" w:cs="Arial"/>
          <w:bCs/>
          <w:sz w:val="21"/>
          <w:szCs w:val="21"/>
        </w:rPr>
      </w:pPr>
    </w:p>
    <w:p w14:paraId="616EB3E6" w14:textId="40590C0D" w:rsidR="004C27DF" w:rsidRPr="007B01AC" w:rsidRDefault="004C27DF" w:rsidP="004C27DF">
      <w:pPr>
        <w:rPr>
          <w:rFonts w:ascii="Arial" w:eastAsia="Calibri" w:hAnsi="Arial" w:cs="Arial"/>
          <w:b/>
          <w:sz w:val="21"/>
          <w:szCs w:val="21"/>
        </w:rPr>
      </w:pPr>
      <w:r w:rsidRPr="007B01AC">
        <w:rPr>
          <w:rFonts w:ascii="Arial" w:eastAsia="Calibri" w:hAnsi="Arial" w:cs="Arial"/>
          <w:b/>
          <w:sz w:val="21"/>
          <w:szCs w:val="21"/>
        </w:rPr>
        <w:t>19</w:t>
      </w:r>
      <w:r w:rsidR="007B01AC" w:rsidRPr="007B01AC">
        <w:rPr>
          <w:rFonts w:ascii="Arial" w:eastAsia="Calibri" w:hAnsi="Arial" w:cs="Arial"/>
          <w:b/>
          <w:sz w:val="21"/>
          <w:szCs w:val="21"/>
        </w:rPr>
        <w:t>.</w:t>
      </w:r>
      <w:r w:rsidRPr="007B01AC">
        <w:rPr>
          <w:rFonts w:ascii="Arial" w:eastAsia="Calibri" w:hAnsi="Arial" w:cs="Arial"/>
          <w:b/>
          <w:sz w:val="21"/>
          <w:szCs w:val="21"/>
        </w:rPr>
        <w:t xml:space="preserve"> Should transmission charges be used to signal the relative costs of network congestion (</w:t>
      </w:r>
      <w:proofErr w:type="gramStart"/>
      <w:r w:rsidRPr="007B01AC">
        <w:rPr>
          <w:rFonts w:ascii="Arial" w:eastAsia="Calibri" w:hAnsi="Arial" w:cs="Arial"/>
          <w:b/>
          <w:sz w:val="21"/>
          <w:szCs w:val="21"/>
        </w:rPr>
        <w:t>i.e.</w:t>
      </w:r>
      <w:proofErr w:type="gramEnd"/>
      <w:r w:rsidRPr="007B01AC">
        <w:rPr>
          <w:rFonts w:ascii="Arial" w:eastAsia="Calibri" w:hAnsi="Arial" w:cs="Arial"/>
          <w:b/>
          <w:sz w:val="21"/>
          <w:szCs w:val="21"/>
        </w:rPr>
        <w:t xml:space="preserve"> internal constraints and cross-border congestion) in different areas? </w:t>
      </w:r>
    </w:p>
    <w:p w14:paraId="4C57BED7" w14:textId="2CC65EB9"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Constraint costs arise from short term congestion on the </w:t>
      </w:r>
      <w:proofErr w:type="gramStart"/>
      <w:r w:rsidRPr="004C27DF">
        <w:rPr>
          <w:rFonts w:ascii="Arial" w:eastAsia="Calibri" w:hAnsi="Arial" w:cs="Arial"/>
          <w:bCs/>
          <w:sz w:val="21"/>
          <w:szCs w:val="21"/>
        </w:rPr>
        <w:t xml:space="preserve">network, </w:t>
      </w:r>
      <w:r w:rsidR="0069749F">
        <w:rPr>
          <w:rFonts w:ascii="Arial" w:eastAsia="Calibri" w:hAnsi="Arial" w:cs="Arial"/>
          <w:bCs/>
          <w:sz w:val="21"/>
          <w:szCs w:val="21"/>
        </w:rPr>
        <w:t>and</w:t>
      </w:r>
      <w:proofErr w:type="gramEnd"/>
      <w:r w:rsidRPr="004C27DF">
        <w:rPr>
          <w:rFonts w:ascii="Arial" w:eastAsia="Calibri" w:hAnsi="Arial" w:cs="Arial"/>
          <w:bCs/>
          <w:sz w:val="21"/>
          <w:szCs w:val="21"/>
        </w:rPr>
        <w:t xml:space="preserve"> are an essential and effective means to balance the electricity network and provide an alternative to building an unaffordable unconstrained network. They need to be appropriately valued as part of a net zero </w:t>
      </w:r>
      <w:r w:rsidRPr="004C27DF">
        <w:rPr>
          <w:rFonts w:ascii="Arial" w:eastAsia="Calibri" w:hAnsi="Arial" w:cs="Arial"/>
          <w:bCs/>
          <w:sz w:val="21"/>
          <w:szCs w:val="21"/>
        </w:rPr>
        <w:lastRenderedPageBreak/>
        <w:t xml:space="preserve">system. The ESO manages the network to mitigate constraints, and this can happen close to real time depending on multiple variables. </w:t>
      </w:r>
    </w:p>
    <w:p w14:paraId="2648E4B1" w14:textId="3B08FB70"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The future planned network developed under the spatial plan proposals should provide an optimum signal for the volume and type of generation required to connect to optimise operational </w:t>
      </w:r>
      <w:r w:rsidR="0069749F">
        <w:rPr>
          <w:rFonts w:ascii="Arial" w:eastAsia="Calibri" w:hAnsi="Arial" w:cs="Arial"/>
          <w:bCs/>
          <w:sz w:val="21"/>
          <w:szCs w:val="21"/>
        </w:rPr>
        <w:t>constraints</w:t>
      </w:r>
      <w:r w:rsidRPr="004C27DF">
        <w:rPr>
          <w:rFonts w:ascii="Arial" w:eastAsia="Calibri" w:hAnsi="Arial" w:cs="Arial"/>
          <w:bCs/>
          <w:sz w:val="21"/>
          <w:szCs w:val="21"/>
        </w:rPr>
        <w:t xml:space="preserve"> and network investment costs. Charging and market-based reforms need to be developed to signal alignment with the future network plan. </w:t>
      </w:r>
    </w:p>
    <w:p w14:paraId="3D70E370" w14:textId="1D6973C5" w:rsidR="004C27DF" w:rsidRPr="007B01AC" w:rsidRDefault="004C27DF" w:rsidP="004C27DF">
      <w:pPr>
        <w:rPr>
          <w:rFonts w:ascii="Arial" w:eastAsia="Calibri" w:hAnsi="Arial" w:cs="Arial"/>
          <w:b/>
          <w:sz w:val="21"/>
          <w:szCs w:val="21"/>
        </w:rPr>
      </w:pPr>
      <w:r w:rsidRPr="007B01AC">
        <w:rPr>
          <w:rFonts w:ascii="Arial" w:eastAsia="Calibri" w:hAnsi="Arial" w:cs="Arial"/>
          <w:b/>
          <w:sz w:val="21"/>
          <w:szCs w:val="21"/>
        </w:rPr>
        <w:t>20</w:t>
      </w:r>
      <w:r w:rsidR="007B01AC" w:rsidRPr="007B01AC">
        <w:rPr>
          <w:rFonts w:ascii="Arial" w:eastAsia="Calibri" w:hAnsi="Arial" w:cs="Arial"/>
          <w:b/>
          <w:sz w:val="21"/>
          <w:szCs w:val="21"/>
        </w:rPr>
        <w:t>.</w:t>
      </w:r>
      <w:r w:rsidRPr="007B01AC">
        <w:rPr>
          <w:rFonts w:ascii="Arial" w:eastAsia="Calibri" w:hAnsi="Arial" w:cs="Arial"/>
          <w:b/>
          <w:sz w:val="21"/>
          <w:szCs w:val="21"/>
        </w:rPr>
        <w:t xml:space="preserve"> What are your views on the potential implications of market reform and system planning outcomes on the benefits of different long-term transmission charging options? </w:t>
      </w:r>
    </w:p>
    <w:p w14:paraId="4B52B6ED" w14:textId="6FC16FD2" w:rsidR="004C27DF" w:rsidRPr="004C27DF" w:rsidRDefault="004C27DF" w:rsidP="004C27DF">
      <w:pPr>
        <w:rPr>
          <w:rFonts w:ascii="Arial" w:eastAsia="Calibri" w:hAnsi="Arial" w:cs="Arial"/>
          <w:bCs/>
          <w:sz w:val="21"/>
          <w:szCs w:val="21"/>
        </w:rPr>
      </w:pPr>
      <w:r w:rsidRPr="004C27DF">
        <w:rPr>
          <w:rFonts w:ascii="Arial" w:eastAsia="Calibri" w:hAnsi="Arial" w:cs="Arial"/>
          <w:bCs/>
          <w:sz w:val="21"/>
          <w:szCs w:val="21"/>
        </w:rPr>
        <w:t xml:space="preserve">See </w:t>
      </w:r>
      <w:r w:rsidR="007B01AC">
        <w:rPr>
          <w:rFonts w:ascii="Arial" w:eastAsia="Calibri" w:hAnsi="Arial" w:cs="Arial"/>
          <w:bCs/>
          <w:sz w:val="21"/>
          <w:szCs w:val="21"/>
        </w:rPr>
        <w:t xml:space="preserve">the </w:t>
      </w:r>
      <w:r w:rsidRPr="004C27DF">
        <w:rPr>
          <w:rFonts w:ascii="Arial" w:eastAsia="Calibri" w:hAnsi="Arial" w:cs="Arial"/>
          <w:bCs/>
          <w:sz w:val="21"/>
          <w:szCs w:val="21"/>
        </w:rPr>
        <w:t xml:space="preserve">previous </w:t>
      </w:r>
      <w:r w:rsidR="007B01AC" w:rsidRPr="004C27DF">
        <w:rPr>
          <w:rFonts w:ascii="Arial" w:eastAsia="Calibri" w:hAnsi="Arial" w:cs="Arial"/>
          <w:bCs/>
          <w:sz w:val="21"/>
          <w:szCs w:val="21"/>
        </w:rPr>
        <w:t>answer</w:t>
      </w:r>
      <w:r w:rsidR="003A170C">
        <w:rPr>
          <w:rFonts w:ascii="Arial" w:eastAsia="Calibri" w:hAnsi="Arial" w:cs="Arial"/>
          <w:bCs/>
          <w:sz w:val="21"/>
          <w:szCs w:val="21"/>
        </w:rPr>
        <w:t xml:space="preserve"> however we broadly agree</w:t>
      </w:r>
      <w:r w:rsidR="000A6951">
        <w:rPr>
          <w:rFonts w:ascii="Arial" w:eastAsia="Calibri" w:hAnsi="Arial" w:cs="Arial"/>
          <w:bCs/>
          <w:sz w:val="21"/>
          <w:szCs w:val="21"/>
        </w:rPr>
        <w:t xml:space="preserve"> but do welcome more work on this.</w:t>
      </w:r>
    </w:p>
    <w:p w14:paraId="3F767E66" w14:textId="34EA4217" w:rsidR="004C27DF" w:rsidRPr="007B01AC" w:rsidRDefault="004C27DF" w:rsidP="004C27DF">
      <w:pPr>
        <w:rPr>
          <w:rFonts w:ascii="Arial" w:eastAsia="Calibri" w:hAnsi="Arial" w:cs="Arial"/>
          <w:b/>
          <w:sz w:val="21"/>
          <w:szCs w:val="21"/>
        </w:rPr>
      </w:pPr>
      <w:r w:rsidRPr="007B01AC">
        <w:rPr>
          <w:rFonts w:ascii="Arial" w:eastAsia="Calibri" w:hAnsi="Arial" w:cs="Arial"/>
          <w:b/>
          <w:sz w:val="21"/>
          <w:szCs w:val="21"/>
        </w:rPr>
        <w:t>21</w:t>
      </w:r>
      <w:r w:rsidR="007B01AC" w:rsidRPr="007B01AC">
        <w:rPr>
          <w:rFonts w:ascii="Arial" w:eastAsia="Calibri" w:hAnsi="Arial" w:cs="Arial"/>
          <w:b/>
          <w:sz w:val="21"/>
          <w:szCs w:val="21"/>
        </w:rPr>
        <w:t>.</w:t>
      </w:r>
      <w:r w:rsidRPr="007B01AC">
        <w:rPr>
          <w:rFonts w:ascii="Arial" w:eastAsia="Calibri" w:hAnsi="Arial" w:cs="Arial"/>
          <w:b/>
          <w:sz w:val="21"/>
          <w:szCs w:val="21"/>
        </w:rPr>
        <w:t xml:space="preserve"> Should locational signals from transmission charges be adapted where cost-reflective charges conflict with other policy goals and electricity market signals?</w:t>
      </w:r>
    </w:p>
    <w:p w14:paraId="3F4EE8C1" w14:textId="7B1E619E" w:rsidR="004C27DF" w:rsidRDefault="004C27DF" w:rsidP="007B01AC">
      <w:pPr>
        <w:rPr>
          <w:rStyle w:val="Hyperlink"/>
          <w:rFonts w:ascii="Arial" w:eastAsia="Calibri" w:hAnsi="Arial" w:cs="Arial"/>
          <w:bCs/>
          <w:sz w:val="21"/>
          <w:szCs w:val="21"/>
        </w:rPr>
      </w:pPr>
      <w:r w:rsidRPr="004C27DF">
        <w:rPr>
          <w:rFonts w:ascii="Arial" w:eastAsia="Calibri" w:hAnsi="Arial" w:cs="Arial"/>
          <w:bCs/>
          <w:sz w:val="21"/>
          <w:szCs w:val="21"/>
        </w:rPr>
        <w:t xml:space="preserve">See </w:t>
      </w:r>
      <w:r w:rsidR="007B01AC">
        <w:rPr>
          <w:rFonts w:ascii="Arial" w:eastAsia="Calibri" w:hAnsi="Arial" w:cs="Arial"/>
          <w:bCs/>
          <w:sz w:val="21"/>
          <w:szCs w:val="21"/>
        </w:rPr>
        <w:t xml:space="preserve">the </w:t>
      </w:r>
      <w:r w:rsidRPr="004C27DF">
        <w:rPr>
          <w:rFonts w:ascii="Arial" w:eastAsia="Calibri" w:hAnsi="Arial" w:cs="Arial"/>
          <w:bCs/>
          <w:sz w:val="21"/>
          <w:szCs w:val="21"/>
        </w:rPr>
        <w:t>previous answer</w:t>
      </w:r>
      <w:r w:rsidR="007B01AC">
        <w:rPr>
          <w:rFonts w:ascii="Arial" w:eastAsia="Calibri" w:hAnsi="Arial" w:cs="Arial"/>
          <w:bCs/>
          <w:sz w:val="21"/>
          <w:szCs w:val="21"/>
        </w:rPr>
        <w:t>.</w:t>
      </w:r>
      <w:r>
        <w:rPr>
          <w:rStyle w:val="Hyperlink"/>
          <w:rFonts w:ascii="Arial" w:eastAsia="Calibri" w:hAnsi="Arial" w:cs="Arial"/>
          <w:bCs/>
          <w:sz w:val="21"/>
          <w:szCs w:val="21"/>
        </w:rPr>
        <w:t xml:space="preserve"> </w:t>
      </w:r>
    </w:p>
    <w:p w14:paraId="0B1A3A86" w14:textId="72D54F78" w:rsidR="00B665BD" w:rsidRDefault="00B665BD" w:rsidP="005C6AB6">
      <w:pPr>
        <w:shd w:val="clear" w:color="auto" w:fill="FFFFFF"/>
        <w:spacing w:before="100" w:beforeAutospacing="1" w:after="100" w:afterAutospacing="1"/>
        <w:rPr>
          <w:rStyle w:val="Hyperlink"/>
          <w:rFonts w:ascii="Arial" w:eastAsia="Calibri" w:hAnsi="Arial" w:cs="Arial"/>
          <w:bCs/>
          <w:sz w:val="21"/>
          <w:szCs w:val="21"/>
        </w:rPr>
      </w:pPr>
    </w:p>
    <w:sectPr w:rsidR="00B665BD" w:rsidSect="00A64FB9">
      <w:headerReference w:type="even" r:id="rId17"/>
      <w:footerReference w:type="default" r:id="rId18"/>
      <w:headerReference w:type="first" r:id="rId19"/>
      <w:footerReference w:type="first" r:id="rId20"/>
      <w:pgSz w:w="11906" w:h="16838"/>
      <w:pgMar w:top="2835" w:right="1418" w:bottom="294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ephen McKellar" w:date="2023-11-01T13:45:00Z" w:initials="SM">
    <w:p w14:paraId="5B3BB2DF" w14:textId="77777777" w:rsidR="00320762" w:rsidRDefault="00320762">
      <w:pPr>
        <w:pStyle w:val="CommentText"/>
      </w:pPr>
      <w:r>
        <w:rPr>
          <w:rStyle w:val="CommentReference"/>
        </w:rPr>
        <w:annotationRef/>
      </w:r>
      <w:r>
        <w:t xml:space="preserve">We agree. </w:t>
      </w:r>
    </w:p>
    <w:p w14:paraId="6EB61982" w14:textId="77777777" w:rsidR="00320762" w:rsidRDefault="00320762" w:rsidP="008D4CE7">
      <w:pPr>
        <w:pStyle w:val="CommentText"/>
      </w:pPr>
      <w:r>
        <w:t>Starting with the logic presented in section 2 for the transmission charge being designed solely as an investment charge, it follows that users are expected to use this information on investment decision timeframes – months and years rather than anything close to real-time.</w:t>
      </w:r>
    </w:p>
  </w:comment>
  <w:comment w:id="2" w:author="Stephen McKellar" w:date="2023-11-01T13:46:00Z" w:initials="SM">
    <w:p w14:paraId="43DE1A02" w14:textId="77777777" w:rsidR="00F852EE" w:rsidRDefault="00F852EE">
      <w:pPr>
        <w:pStyle w:val="CommentText"/>
      </w:pPr>
      <w:r>
        <w:rPr>
          <w:rStyle w:val="CommentReference"/>
        </w:rPr>
        <w:annotationRef/>
      </w:r>
      <w:r>
        <w:t>Investment signals to generation:</w:t>
      </w:r>
    </w:p>
    <w:p w14:paraId="3A988DC7" w14:textId="77777777" w:rsidR="00F852EE" w:rsidRDefault="00F852EE">
      <w:pPr>
        <w:pStyle w:val="CommentText"/>
      </w:pPr>
      <w:r>
        <w:t xml:space="preserve">It is right to reconsider the paying of credits to generators. </w:t>
      </w:r>
    </w:p>
    <w:p w14:paraId="3D408B9C" w14:textId="77777777" w:rsidR="00F852EE" w:rsidRDefault="00F852EE" w:rsidP="00614DC0">
      <w:pPr>
        <w:pStyle w:val="CommentText"/>
      </w:pPr>
      <w:r>
        <w:t>The current methodology, in principle, rewards each MW in a negative-charge zone for avoiding incremental network investment need, to the same degree that each MW in a positive-charge zone is penalised for adding incremental investment need. In reality this assumption of symmetry rarely holds – these are often different types of generators acting at different times, for example southern peak-time generators often acting in periods of low northern wind. The outcome is that network investment need is not avoided, and that therefore the scale of credit is not justified.</w:t>
      </w:r>
    </w:p>
  </w:comment>
  <w:comment w:id="3" w:author="Stephen McKellar" w:date="2023-11-01T13:50:00Z" w:initials="SM">
    <w:p w14:paraId="19D1D4C3" w14:textId="77777777" w:rsidR="00684941" w:rsidRDefault="00684941">
      <w:pPr>
        <w:pStyle w:val="CommentText"/>
      </w:pPr>
      <w:r>
        <w:rPr>
          <w:rStyle w:val="CommentReference"/>
        </w:rPr>
        <w:annotationRef/>
      </w:r>
      <w:r>
        <w:t>[** needs some consideration – as yes more transmission cost will be added to residual ‘pot’ (although nb arguably constraints reduced)]</w:t>
      </w:r>
    </w:p>
    <w:p w14:paraId="76911E74" w14:textId="77777777" w:rsidR="00684941" w:rsidRDefault="00684941" w:rsidP="005A1676">
      <w:pPr>
        <w:pStyle w:val="CommentText"/>
      </w:pPr>
      <w:r>
        <w:t>[Move some residual into demand wider – such that wider is never negative but can include reflective signal.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B61982" w15:done="0"/>
  <w15:commentEx w15:paraId="3D408B9C" w15:done="0"/>
  <w15:commentEx w15:paraId="76911E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7DC67E" w16cex:dateUtc="2023-11-01T13:45:00Z"/>
  <w16cex:commentExtensible w16cex:durableId="4CC0FE10" w16cex:dateUtc="2023-11-01T13:46:00Z"/>
  <w16cex:commentExtensible w16cex:durableId="5DE2B6AA" w16cex:dateUtc="2023-11-01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61982" w16cid:durableId="447DC67E"/>
  <w16cid:commentId w16cid:paraId="3D408B9C" w16cid:durableId="4CC0FE10"/>
  <w16cid:commentId w16cid:paraId="76911E74" w16cid:durableId="5DE2B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353A" w14:textId="77777777" w:rsidR="004745B1" w:rsidRDefault="004745B1" w:rsidP="00A64FB9">
      <w:pPr>
        <w:spacing w:after="0" w:line="240" w:lineRule="auto"/>
      </w:pPr>
      <w:r>
        <w:separator/>
      </w:r>
    </w:p>
  </w:endnote>
  <w:endnote w:type="continuationSeparator" w:id="0">
    <w:p w14:paraId="73A8750D" w14:textId="77777777" w:rsidR="004745B1" w:rsidRDefault="004745B1" w:rsidP="00A64FB9">
      <w:pPr>
        <w:spacing w:after="0" w:line="240" w:lineRule="auto"/>
      </w:pPr>
      <w:r>
        <w:continuationSeparator/>
      </w:r>
    </w:p>
  </w:endnote>
  <w:endnote w:type="continuationNotice" w:id="1">
    <w:p w14:paraId="1C88E6F4" w14:textId="77777777" w:rsidR="004745B1" w:rsidRDefault="00474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368699"/>
      <w:docPartObj>
        <w:docPartGallery w:val="Page Numbers (Bottom of Page)"/>
        <w:docPartUnique/>
      </w:docPartObj>
    </w:sdtPr>
    <w:sdtEndPr/>
    <w:sdtContent>
      <w:sdt>
        <w:sdtPr>
          <w:id w:val="1728636285"/>
          <w:docPartObj>
            <w:docPartGallery w:val="Page Numbers (Top of Page)"/>
            <w:docPartUnique/>
          </w:docPartObj>
        </w:sdtPr>
        <w:sdtEndPr/>
        <w:sdtContent>
          <w:p w14:paraId="67874C26" w14:textId="3FDE0150" w:rsidR="00783087" w:rsidRDefault="007830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151F45" w14:textId="77777777" w:rsidR="00622A1D" w:rsidRDefault="00622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C58D" w14:textId="6F88058F" w:rsidR="008A0DB2" w:rsidRDefault="00454217">
    <w:pPr>
      <w:pStyle w:val="Footer"/>
    </w:pPr>
    <w:r w:rsidRPr="009C11B8">
      <w:rPr>
        <w:rFonts w:ascii="Arial" w:hAnsi="Arial" w:cs="Arial"/>
        <w:noProof/>
      </w:rPr>
      <mc:AlternateContent>
        <mc:Choice Requires="wps">
          <w:drawing>
            <wp:anchor distT="45720" distB="45720" distL="114300" distR="114300" simplePos="0" relativeHeight="251658240" behindDoc="0" locked="0" layoutInCell="1" allowOverlap="1" wp14:anchorId="1A75A01C" wp14:editId="12FA6A85">
              <wp:simplePos x="0" y="0"/>
              <wp:positionH relativeFrom="column">
                <wp:posOffset>4606681</wp:posOffset>
              </wp:positionH>
              <wp:positionV relativeFrom="paragraph">
                <wp:posOffset>-597682</wp:posOffset>
              </wp:positionV>
              <wp:extent cx="1878859" cy="1084599"/>
              <wp:effectExtent l="0" t="0" r="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859" cy="1084599"/>
                      </a:xfrm>
                      <a:prstGeom prst="rect">
                        <a:avLst/>
                      </a:prstGeom>
                      <a:noFill/>
                      <a:ln w="9525">
                        <a:noFill/>
                        <a:miter lim="800000"/>
                        <a:headEnd/>
                        <a:tailEnd/>
                      </a:ln>
                    </wps:spPr>
                    <wps:txbx>
                      <w:txbxContent>
                        <w:p w14:paraId="6EE7301F" w14:textId="4C693E50" w:rsidR="00454217" w:rsidRDefault="00AF4BF1" w:rsidP="00454217">
                          <w:pPr>
                            <w:spacing w:after="60"/>
                            <w:rPr>
                              <w:rFonts w:ascii="Arial" w:hAnsi="Arial" w:cs="Arial"/>
                              <w:sz w:val="14"/>
                              <w:szCs w:val="14"/>
                            </w:rPr>
                          </w:pPr>
                          <w:r>
                            <w:rPr>
                              <w:rFonts w:ascii="Arial" w:hAnsi="Arial" w:cs="Arial"/>
                              <w:sz w:val="14"/>
                              <w:szCs w:val="14"/>
                            </w:rPr>
                            <w:t>Third Floor</w:t>
                          </w:r>
                          <w:r w:rsidR="00454217" w:rsidRPr="00EA3416">
                            <w:rPr>
                              <w:rFonts w:ascii="Arial" w:hAnsi="Arial" w:cs="Arial"/>
                              <w:sz w:val="14"/>
                              <w:szCs w:val="14"/>
                            </w:rPr>
                            <w:t xml:space="preserve">, 24 St Vincent Place, </w:t>
                          </w:r>
                          <w:r w:rsidR="00454217">
                            <w:rPr>
                              <w:rFonts w:ascii="Arial" w:hAnsi="Arial" w:cs="Arial"/>
                              <w:sz w:val="14"/>
                              <w:szCs w:val="14"/>
                            </w:rPr>
                            <w:br/>
                          </w:r>
                          <w:r w:rsidR="00454217" w:rsidRPr="00EA3416">
                            <w:rPr>
                              <w:rFonts w:ascii="Arial" w:hAnsi="Arial" w:cs="Arial"/>
                              <w:sz w:val="14"/>
                              <w:szCs w:val="14"/>
                            </w:rPr>
                            <w:t>Glasgow, G1 2EU</w:t>
                          </w:r>
                          <w:r w:rsidR="00454217">
                            <w:rPr>
                              <w:rFonts w:ascii="Arial" w:hAnsi="Arial" w:cs="Arial"/>
                              <w:sz w:val="14"/>
                              <w:szCs w:val="14"/>
                            </w:rPr>
                            <w:br/>
                          </w:r>
                          <w:r w:rsidR="00454217" w:rsidRPr="00EA3416">
                            <w:rPr>
                              <w:rFonts w:ascii="Arial" w:hAnsi="Arial" w:cs="Arial"/>
                              <w:sz w:val="14"/>
                              <w:szCs w:val="14"/>
                            </w:rPr>
                            <w:sym w:font="Wingdings" w:char="F029"/>
                          </w:r>
                          <w:r w:rsidR="00454217" w:rsidRPr="00EA3416">
                            <w:rPr>
                              <w:rFonts w:ascii="Arial" w:hAnsi="Arial" w:cs="Arial"/>
                              <w:sz w:val="14"/>
                              <w:szCs w:val="14"/>
                            </w:rPr>
                            <w:t xml:space="preserve"> 0141 353 4980 </w:t>
                          </w:r>
                          <w:r w:rsidR="00454217" w:rsidRPr="00EA3416">
                            <w:rPr>
                              <w:rFonts w:ascii="Arial" w:hAnsi="Arial" w:cs="Arial"/>
                              <w:b/>
                              <w:bCs/>
                              <w:sz w:val="14"/>
                              <w:szCs w:val="14"/>
                            </w:rPr>
                            <w:t>@</w:t>
                          </w:r>
                          <w:r w:rsidR="00454217" w:rsidRPr="00EA3416">
                            <w:rPr>
                              <w:rFonts w:ascii="Arial" w:hAnsi="Arial" w:cs="Arial"/>
                              <w:sz w:val="14"/>
                              <w:szCs w:val="14"/>
                            </w:rPr>
                            <w:t>ScotRenew</w:t>
                          </w:r>
                        </w:p>
                        <w:p w14:paraId="362E0E92" w14:textId="77777777" w:rsidR="00454217" w:rsidRPr="00454217" w:rsidRDefault="00454217" w:rsidP="00454217">
                          <w:pPr>
                            <w:spacing w:after="60"/>
                            <w:rPr>
                              <w:rFonts w:ascii="Arial" w:hAnsi="Arial" w:cs="Arial"/>
                              <w:b/>
                              <w:bCs/>
                              <w:sz w:val="14"/>
                              <w:szCs w:val="14"/>
                            </w:rPr>
                          </w:pPr>
                          <w:r w:rsidRPr="00454217">
                            <w:rPr>
                              <w:rFonts w:ascii="Arial" w:hAnsi="Arial" w:cs="Arial"/>
                              <w:b/>
                              <w:bCs/>
                              <w:sz w:val="14"/>
                              <w:szCs w:val="14"/>
                            </w:rPr>
                            <w:t>www.scottishrenewables.com</w:t>
                          </w:r>
                        </w:p>
                        <w:p w14:paraId="1FF1D3E1" w14:textId="02FBED91" w:rsidR="00454217" w:rsidRPr="000C518C" w:rsidRDefault="00454217" w:rsidP="00454217">
                          <w:pPr>
                            <w:rPr>
                              <w:rFonts w:ascii="Arial" w:hAnsi="Arial" w:cs="Arial"/>
                              <w:sz w:val="12"/>
                              <w:szCs w:val="12"/>
                            </w:rPr>
                          </w:pPr>
                          <w:r w:rsidRPr="000C518C">
                            <w:rPr>
                              <w:rFonts w:ascii="Arial" w:hAnsi="Arial" w:cs="Arial"/>
                              <w:sz w:val="12"/>
                              <w:szCs w:val="12"/>
                            </w:rPr>
                            <w:t>Scottish Renewables Forum Limited</w:t>
                          </w:r>
                          <w:r w:rsidRPr="000C518C">
                            <w:rPr>
                              <w:rFonts w:ascii="Arial" w:hAnsi="Arial" w:cs="Arial"/>
                              <w:sz w:val="12"/>
                              <w:szCs w:val="12"/>
                            </w:rPr>
                            <w:br/>
                            <w:t xml:space="preserve">A company limited by </w:t>
                          </w:r>
                          <w:proofErr w:type="gramStart"/>
                          <w:r w:rsidRPr="000C518C">
                            <w:rPr>
                              <w:rFonts w:ascii="Arial" w:hAnsi="Arial" w:cs="Arial"/>
                              <w:sz w:val="12"/>
                              <w:szCs w:val="12"/>
                            </w:rPr>
                            <w:t>guarantee</w:t>
                          </w:r>
                          <w:proofErr w:type="gramEnd"/>
                          <w:r w:rsidRPr="000C518C">
                            <w:rPr>
                              <w:rFonts w:ascii="Arial" w:hAnsi="Arial" w:cs="Arial"/>
                              <w:sz w:val="12"/>
                              <w:szCs w:val="12"/>
                            </w:rPr>
                            <w:t xml:space="preserve"> Scotland No.200074 Registered office: </w:t>
                          </w:r>
                          <w:r w:rsidR="000C0F0D">
                            <w:rPr>
                              <w:rFonts w:ascii="Arial" w:hAnsi="Arial" w:cs="Arial"/>
                              <w:sz w:val="12"/>
                              <w:szCs w:val="12"/>
                            </w:rPr>
                            <w:t>Third Floor</w:t>
                          </w:r>
                          <w:r w:rsidRPr="000C518C">
                            <w:rPr>
                              <w:rFonts w:ascii="Arial" w:hAnsi="Arial" w:cs="Arial"/>
                              <w:sz w:val="12"/>
                              <w:szCs w:val="12"/>
                            </w:rPr>
                            <w:t>, 24 St Vincent Place, Glasgow, G1 2EU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5A01C" id="_x0000_t202" coordsize="21600,21600" o:spt="202" path="m,l,21600r21600,l21600,xe">
              <v:stroke joinstyle="miter"/>
              <v:path gradientshapeok="t" o:connecttype="rect"/>
            </v:shapetype>
            <v:shape id="Text Box 217" o:spid="_x0000_s1026" type="#_x0000_t202" style="position:absolute;margin-left:362.75pt;margin-top:-47.05pt;width:147.95pt;height:8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" filled="f" stroked="f">
              <v:textbox>
                <w:txbxContent>
                  <w:p w14:paraId="6EE7301F" w14:textId="4C693E50" w:rsidR="00454217" w:rsidRDefault="00AF4BF1" w:rsidP="00454217">
                    <w:pPr>
                      <w:spacing w:after="60"/>
                      <w:rPr>
                        <w:rFonts w:ascii="Arial" w:hAnsi="Arial" w:cs="Arial"/>
                        <w:sz w:val="14"/>
                        <w:szCs w:val="14"/>
                      </w:rPr>
                    </w:pPr>
                    <w:r>
                      <w:rPr>
                        <w:rFonts w:ascii="Arial" w:hAnsi="Arial" w:cs="Arial"/>
                        <w:sz w:val="14"/>
                        <w:szCs w:val="14"/>
                      </w:rPr>
                      <w:t>Third Floor</w:t>
                    </w:r>
                    <w:r w:rsidR="00454217" w:rsidRPr="00EA3416">
                      <w:rPr>
                        <w:rFonts w:ascii="Arial" w:hAnsi="Arial" w:cs="Arial"/>
                        <w:sz w:val="14"/>
                        <w:szCs w:val="14"/>
                      </w:rPr>
                      <w:t xml:space="preserve">, 24 St Vincent Place, </w:t>
                    </w:r>
                    <w:r w:rsidR="00454217">
                      <w:rPr>
                        <w:rFonts w:ascii="Arial" w:hAnsi="Arial" w:cs="Arial"/>
                        <w:sz w:val="14"/>
                        <w:szCs w:val="14"/>
                      </w:rPr>
                      <w:br/>
                    </w:r>
                    <w:r w:rsidR="00454217" w:rsidRPr="00EA3416">
                      <w:rPr>
                        <w:rFonts w:ascii="Arial" w:hAnsi="Arial" w:cs="Arial"/>
                        <w:sz w:val="14"/>
                        <w:szCs w:val="14"/>
                      </w:rPr>
                      <w:t>Glasgow, G1 2EU</w:t>
                    </w:r>
                    <w:r w:rsidR="00454217">
                      <w:rPr>
                        <w:rFonts w:ascii="Arial" w:hAnsi="Arial" w:cs="Arial"/>
                        <w:sz w:val="14"/>
                        <w:szCs w:val="14"/>
                      </w:rPr>
                      <w:br/>
                    </w:r>
                    <w:r w:rsidR="00454217" w:rsidRPr="00EA3416">
                      <w:rPr>
                        <w:rFonts w:ascii="Arial" w:hAnsi="Arial" w:cs="Arial"/>
                        <w:sz w:val="14"/>
                        <w:szCs w:val="14"/>
                      </w:rPr>
                      <w:sym w:font="Wingdings" w:char="F029"/>
                    </w:r>
                    <w:r w:rsidR="00454217" w:rsidRPr="00EA3416">
                      <w:rPr>
                        <w:rFonts w:ascii="Arial" w:hAnsi="Arial" w:cs="Arial"/>
                        <w:sz w:val="14"/>
                        <w:szCs w:val="14"/>
                      </w:rPr>
                      <w:t xml:space="preserve"> 0141 353 4980 </w:t>
                    </w:r>
                    <w:r w:rsidR="00454217" w:rsidRPr="00EA3416">
                      <w:rPr>
                        <w:rFonts w:ascii="Arial" w:hAnsi="Arial" w:cs="Arial"/>
                        <w:b/>
                        <w:bCs/>
                        <w:sz w:val="14"/>
                        <w:szCs w:val="14"/>
                      </w:rPr>
                      <w:t>@</w:t>
                    </w:r>
                    <w:r w:rsidR="00454217" w:rsidRPr="00EA3416">
                      <w:rPr>
                        <w:rFonts w:ascii="Arial" w:hAnsi="Arial" w:cs="Arial"/>
                        <w:sz w:val="14"/>
                        <w:szCs w:val="14"/>
                      </w:rPr>
                      <w:t>ScotRenew</w:t>
                    </w:r>
                  </w:p>
                  <w:p w14:paraId="362E0E92" w14:textId="77777777" w:rsidR="00454217" w:rsidRPr="00454217" w:rsidRDefault="00454217" w:rsidP="00454217">
                    <w:pPr>
                      <w:spacing w:after="60"/>
                      <w:rPr>
                        <w:rFonts w:ascii="Arial" w:hAnsi="Arial" w:cs="Arial"/>
                        <w:b/>
                        <w:bCs/>
                        <w:sz w:val="14"/>
                        <w:szCs w:val="14"/>
                      </w:rPr>
                    </w:pPr>
                    <w:r w:rsidRPr="00454217">
                      <w:rPr>
                        <w:rFonts w:ascii="Arial" w:hAnsi="Arial" w:cs="Arial"/>
                        <w:b/>
                        <w:bCs/>
                        <w:sz w:val="14"/>
                        <w:szCs w:val="14"/>
                      </w:rPr>
                      <w:t>www.scottishrenewables.com</w:t>
                    </w:r>
                  </w:p>
                  <w:p w14:paraId="1FF1D3E1" w14:textId="02FBED91" w:rsidR="00454217" w:rsidRPr="000C518C" w:rsidRDefault="00454217" w:rsidP="00454217">
                    <w:pPr>
                      <w:rPr>
                        <w:rFonts w:ascii="Arial" w:hAnsi="Arial" w:cs="Arial"/>
                        <w:sz w:val="12"/>
                        <w:szCs w:val="12"/>
                      </w:rPr>
                    </w:pPr>
                    <w:r w:rsidRPr="000C518C">
                      <w:rPr>
                        <w:rFonts w:ascii="Arial" w:hAnsi="Arial" w:cs="Arial"/>
                        <w:sz w:val="12"/>
                        <w:szCs w:val="12"/>
                      </w:rPr>
                      <w:t>Scottish Renewables Forum Limited</w:t>
                    </w:r>
                    <w:r w:rsidRPr="000C518C">
                      <w:rPr>
                        <w:rFonts w:ascii="Arial" w:hAnsi="Arial" w:cs="Arial"/>
                        <w:sz w:val="12"/>
                        <w:szCs w:val="12"/>
                      </w:rPr>
                      <w:br/>
                      <w:t xml:space="preserve">A company limited by </w:t>
                    </w:r>
                    <w:proofErr w:type="gramStart"/>
                    <w:r w:rsidRPr="000C518C">
                      <w:rPr>
                        <w:rFonts w:ascii="Arial" w:hAnsi="Arial" w:cs="Arial"/>
                        <w:sz w:val="12"/>
                        <w:szCs w:val="12"/>
                      </w:rPr>
                      <w:t>guarantee</w:t>
                    </w:r>
                    <w:proofErr w:type="gramEnd"/>
                    <w:r w:rsidRPr="000C518C">
                      <w:rPr>
                        <w:rFonts w:ascii="Arial" w:hAnsi="Arial" w:cs="Arial"/>
                        <w:sz w:val="12"/>
                        <w:szCs w:val="12"/>
                      </w:rPr>
                      <w:t xml:space="preserve"> Scotland No.200074 Registered office: </w:t>
                    </w:r>
                    <w:r w:rsidR="000C0F0D">
                      <w:rPr>
                        <w:rFonts w:ascii="Arial" w:hAnsi="Arial" w:cs="Arial"/>
                        <w:sz w:val="12"/>
                        <w:szCs w:val="12"/>
                      </w:rPr>
                      <w:t>Third Floor</w:t>
                    </w:r>
                    <w:r w:rsidRPr="000C518C">
                      <w:rPr>
                        <w:rFonts w:ascii="Arial" w:hAnsi="Arial" w:cs="Arial"/>
                        <w:sz w:val="12"/>
                        <w:szCs w:val="12"/>
                      </w:rPr>
                      <w:t>, 24 St Vincent Place, Glasgow, G1 2EU</w:t>
                    </w:r>
                  </w:p>
                </w:txbxContent>
              </v:textbox>
            </v:shape>
          </w:pict>
        </mc:Fallback>
      </mc:AlternateContent>
    </w:r>
    <w:r>
      <w:rPr>
        <w:rFonts w:ascii="Arial" w:hAnsi="Arial" w:cs="Arial"/>
        <w:b/>
        <w:noProof/>
        <w:sz w:val="20"/>
        <w:szCs w:val="20"/>
        <w:lang w:eastAsia="en-GB"/>
      </w:rPr>
      <w:t xml:space="preserve"> </w:t>
    </w:r>
    <w:r w:rsidR="008A0DB2">
      <w:rPr>
        <w:rFonts w:ascii="Arial" w:hAnsi="Arial" w:cs="Arial"/>
        <w:b/>
        <w:noProof/>
        <w:sz w:val="20"/>
        <w:szCs w:val="20"/>
        <w:lang w:eastAsia="en-GB"/>
      </w:rPr>
      <w:drawing>
        <wp:anchor distT="0" distB="0" distL="114300" distR="114300" simplePos="0" relativeHeight="251656192" behindDoc="1" locked="0" layoutInCell="0" allowOverlap="0" wp14:anchorId="1D84EB03" wp14:editId="44EA6BE2">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1363" w14:textId="77777777" w:rsidR="004745B1" w:rsidRDefault="004745B1" w:rsidP="00A64FB9">
      <w:pPr>
        <w:spacing w:after="0" w:line="240" w:lineRule="auto"/>
      </w:pPr>
      <w:r>
        <w:separator/>
      </w:r>
    </w:p>
  </w:footnote>
  <w:footnote w:type="continuationSeparator" w:id="0">
    <w:p w14:paraId="7864DDC0" w14:textId="77777777" w:rsidR="004745B1" w:rsidRDefault="004745B1" w:rsidP="00A64FB9">
      <w:pPr>
        <w:spacing w:after="0" w:line="240" w:lineRule="auto"/>
      </w:pPr>
      <w:r>
        <w:continuationSeparator/>
      </w:r>
    </w:p>
  </w:footnote>
  <w:footnote w:type="continuationNotice" w:id="1">
    <w:p w14:paraId="0B083A38" w14:textId="77777777" w:rsidR="004745B1" w:rsidRDefault="00474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C0CC" w14:textId="47193274" w:rsidR="00910CD1" w:rsidRDefault="00F7014C">
    <w:pPr>
      <w:pStyle w:val="Header"/>
    </w:pPr>
    <w:r>
      <w:rPr>
        <w:noProof/>
      </w:rPr>
      <w:pict w14:anchorId="1383E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82E8" w14:textId="61A807AC" w:rsidR="008A0DB2" w:rsidRDefault="008A0DB2">
    <w:pPr>
      <w:pStyle w:val="Header"/>
    </w:pPr>
    <w:r w:rsidRPr="004C05DF">
      <w:rPr>
        <w:rFonts w:ascii="Arial" w:hAnsi="Arial" w:cs="Arial"/>
        <w:noProof/>
        <w:sz w:val="20"/>
        <w:szCs w:val="20"/>
        <w:lang w:eastAsia="en-GB"/>
      </w:rPr>
      <w:drawing>
        <wp:anchor distT="0" distB="0" distL="114300" distR="114300" simplePos="0" relativeHeight="251657216" behindDoc="1" locked="1" layoutInCell="1" allowOverlap="1" wp14:anchorId="7C7B6F15" wp14:editId="26616FC4">
          <wp:simplePos x="0" y="0"/>
          <wp:positionH relativeFrom="column">
            <wp:posOffset>3944620</wp:posOffset>
          </wp:positionH>
          <wp:positionV relativeFrom="page">
            <wp:posOffset>694690</wp:posOffset>
          </wp:positionV>
          <wp:extent cx="2375535" cy="9499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A1"/>
    <w:multiLevelType w:val="hybridMultilevel"/>
    <w:tmpl w:val="15606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4908"/>
    <w:multiLevelType w:val="hybridMultilevel"/>
    <w:tmpl w:val="FCCC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6B6201"/>
    <w:multiLevelType w:val="hybridMultilevel"/>
    <w:tmpl w:val="25A0E0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B161DD"/>
    <w:multiLevelType w:val="hybridMultilevel"/>
    <w:tmpl w:val="E67246C8"/>
    <w:lvl w:ilvl="0" w:tplc="3E3E5C0C">
      <w:start w:val="1"/>
      <w:numFmt w:val="lowerRoman"/>
      <w:lvlText w:val="%1)"/>
      <w:lvlJc w:val="left"/>
      <w:pPr>
        <w:ind w:left="1490" w:hanging="720"/>
      </w:pPr>
      <w:rPr>
        <w:rFonts w:hint="default"/>
      </w:rPr>
    </w:lvl>
    <w:lvl w:ilvl="1" w:tplc="FA10C3B4">
      <w:numFmt w:val="bullet"/>
      <w:lvlText w:val="•"/>
      <w:lvlJc w:val="left"/>
      <w:pPr>
        <w:ind w:left="1850" w:hanging="360"/>
      </w:pPr>
      <w:rPr>
        <w:rFonts w:ascii="Arial" w:eastAsiaTheme="minorHAnsi" w:hAnsi="Arial" w:cs="Arial" w:hint="default"/>
      </w:r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 w15:restartNumberingAfterBreak="0">
    <w:nsid w:val="0EB90B63"/>
    <w:multiLevelType w:val="hybridMultilevel"/>
    <w:tmpl w:val="30D4A4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F205FBE"/>
    <w:multiLevelType w:val="hybridMultilevel"/>
    <w:tmpl w:val="2A1AA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DB5F2F"/>
    <w:multiLevelType w:val="hybridMultilevel"/>
    <w:tmpl w:val="95A8D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E63BFE"/>
    <w:multiLevelType w:val="hybridMultilevel"/>
    <w:tmpl w:val="6D968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7C7161"/>
    <w:multiLevelType w:val="hybridMultilevel"/>
    <w:tmpl w:val="AFD2BD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E305A05"/>
    <w:multiLevelType w:val="hybridMultilevel"/>
    <w:tmpl w:val="9B602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70728A"/>
    <w:multiLevelType w:val="hybridMultilevel"/>
    <w:tmpl w:val="5DB09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F0B2DEB"/>
    <w:multiLevelType w:val="hybridMultilevel"/>
    <w:tmpl w:val="3D928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1E7D67"/>
    <w:multiLevelType w:val="hybridMultilevel"/>
    <w:tmpl w:val="51C2F9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1FA07834"/>
    <w:multiLevelType w:val="hybridMultilevel"/>
    <w:tmpl w:val="4F689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513C6B"/>
    <w:multiLevelType w:val="hybridMultilevel"/>
    <w:tmpl w:val="1B92FC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69D1B5E"/>
    <w:multiLevelType w:val="hybridMultilevel"/>
    <w:tmpl w:val="5644C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983710"/>
    <w:multiLevelType w:val="hybridMultilevel"/>
    <w:tmpl w:val="397CD3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8533E50"/>
    <w:multiLevelType w:val="hybridMultilevel"/>
    <w:tmpl w:val="6AD86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8ED42DF"/>
    <w:multiLevelType w:val="hybridMultilevel"/>
    <w:tmpl w:val="6F64D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B3B2D84"/>
    <w:multiLevelType w:val="multilevel"/>
    <w:tmpl w:val="BFEC3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EA6A86"/>
    <w:multiLevelType w:val="hybridMultilevel"/>
    <w:tmpl w:val="70BA0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D00D0"/>
    <w:multiLevelType w:val="hybridMultilevel"/>
    <w:tmpl w:val="C9CC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EE572D"/>
    <w:multiLevelType w:val="hybridMultilevel"/>
    <w:tmpl w:val="2938A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42218F"/>
    <w:multiLevelType w:val="hybridMultilevel"/>
    <w:tmpl w:val="2536D1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9A332DE"/>
    <w:multiLevelType w:val="hybridMultilevel"/>
    <w:tmpl w:val="D67CD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CB2961"/>
    <w:multiLevelType w:val="hybridMultilevel"/>
    <w:tmpl w:val="2E7EFF88"/>
    <w:lvl w:ilvl="0" w:tplc="9B826A28">
      <w:start w:val="1"/>
      <w:numFmt w:val="bullet"/>
      <w:lvlText w:val=""/>
      <w:lvlJc w:val="left"/>
      <w:pPr>
        <w:ind w:left="1440" w:hanging="360"/>
      </w:pPr>
      <w:rPr>
        <w:rFonts w:ascii="Symbol" w:hAnsi="Symbol"/>
      </w:rPr>
    </w:lvl>
    <w:lvl w:ilvl="1" w:tplc="F20C8192">
      <w:start w:val="1"/>
      <w:numFmt w:val="bullet"/>
      <w:lvlText w:val=""/>
      <w:lvlJc w:val="left"/>
      <w:pPr>
        <w:ind w:left="1440" w:hanging="360"/>
      </w:pPr>
      <w:rPr>
        <w:rFonts w:ascii="Symbol" w:hAnsi="Symbol"/>
      </w:rPr>
    </w:lvl>
    <w:lvl w:ilvl="2" w:tplc="2902A748">
      <w:start w:val="1"/>
      <w:numFmt w:val="bullet"/>
      <w:lvlText w:val=""/>
      <w:lvlJc w:val="left"/>
      <w:pPr>
        <w:ind w:left="1440" w:hanging="360"/>
      </w:pPr>
      <w:rPr>
        <w:rFonts w:ascii="Symbol" w:hAnsi="Symbol"/>
      </w:rPr>
    </w:lvl>
    <w:lvl w:ilvl="3" w:tplc="27EC1704">
      <w:start w:val="1"/>
      <w:numFmt w:val="bullet"/>
      <w:lvlText w:val=""/>
      <w:lvlJc w:val="left"/>
      <w:pPr>
        <w:ind w:left="1440" w:hanging="360"/>
      </w:pPr>
      <w:rPr>
        <w:rFonts w:ascii="Symbol" w:hAnsi="Symbol"/>
      </w:rPr>
    </w:lvl>
    <w:lvl w:ilvl="4" w:tplc="7146272A">
      <w:start w:val="1"/>
      <w:numFmt w:val="bullet"/>
      <w:lvlText w:val=""/>
      <w:lvlJc w:val="left"/>
      <w:pPr>
        <w:ind w:left="1440" w:hanging="360"/>
      </w:pPr>
      <w:rPr>
        <w:rFonts w:ascii="Symbol" w:hAnsi="Symbol"/>
      </w:rPr>
    </w:lvl>
    <w:lvl w:ilvl="5" w:tplc="C6C868EE">
      <w:start w:val="1"/>
      <w:numFmt w:val="bullet"/>
      <w:lvlText w:val=""/>
      <w:lvlJc w:val="left"/>
      <w:pPr>
        <w:ind w:left="1440" w:hanging="360"/>
      </w:pPr>
      <w:rPr>
        <w:rFonts w:ascii="Symbol" w:hAnsi="Symbol"/>
      </w:rPr>
    </w:lvl>
    <w:lvl w:ilvl="6" w:tplc="FBA6B1E8">
      <w:start w:val="1"/>
      <w:numFmt w:val="bullet"/>
      <w:lvlText w:val=""/>
      <w:lvlJc w:val="left"/>
      <w:pPr>
        <w:ind w:left="1440" w:hanging="360"/>
      </w:pPr>
      <w:rPr>
        <w:rFonts w:ascii="Symbol" w:hAnsi="Symbol"/>
      </w:rPr>
    </w:lvl>
    <w:lvl w:ilvl="7" w:tplc="B7862CC0">
      <w:start w:val="1"/>
      <w:numFmt w:val="bullet"/>
      <w:lvlText w:val=""/>
      <w:lvlJc w:val="left"/>
      <w:pPr>
        <w:ind w:left="1440" w:hanging="360"/>
      </w:pPr>
      <w:rPr>
        <w:rFonts w:ascii="Symbol" w:hAnsi="Symbol"/>
      </w:rPr>
    </w:lvl>
    <w:lvl w:ilvl="8" w:tplc="13727F22">
      <w:start w:val="1"/>
      <w:numFmt w:val="bullet"/>
      <w:lvlText w:val=""/>
      <w:lvlJc w:val="left"/>
      <w:pPr>
        <w:ind w:left="1440" w:hanging="360"/>
      </w:pPr>
      <w:rPr>
        <w:rFonts w:ascii="Symbol" w:hAnsi="Symbol"/>
      </w:rPr>
    </w:lvl>
  </w:abstractNum>
  <w:abstractNum w:abstractNumId="26" w15:restartNumberingAfterBreak="0">
    <w:nsid w:val="4B431B22"/>
    <w:multiLevelType w:val="multilevel"/>
    <w:tmpl w:val="1EA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408BA"/>
    <w:multiLevelType w:val="hybridMultilevel"/>
    <w:tmpl w:val="DEA4E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D76144"/>
    <w:multiLevelType w:val="hybridMultilevel"/>
    <w:tmpl w:val="30963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102236"/>
    <w:multiLevelType w:val="hybridMultilevel"/>
    <w:tmpl w:val="4C2EE240"/>
    <w:lvl w:ilvl="0" w:tplc="32C63C88">
      <w:start w:val="1"/>
      <w:numFmt w:val="bullet"/>
      <w:lvlText w:val=""/>
      <w:lvlJc w:val="left"/>
      <w:pPr>
        <w:ind w:left="720" w:hanging="360"/>
      </w:pPr>
      <w:rPr>
        <w:rFonts w:ascii="Symbol" w:hAnsi="Symbol"/>
      </w:rPr>
    </w:lvl>
    <w:lvl w:ilvl="1" w:tplc="9472851E">
      <w:start w:val="1"/>
      <w:numFmt w:val="bullet"/>
      <w:lvlText w:val=""/>
      <w:lvlJc w:val="left"/>
      <w:pPr>
        <w:ind w:left="720" w:hanging="360"/>
      </w:pPr>
      <w:rPr>
        <w:rFonts w:ascii="Symbol" w:hAnsi="Symbol"/>
      </w:rPr>
    </w:lvl>
    <w:lvl w:ilvl="2" w:tplc="4F76FBE8">
      <w:start w:val="1"/>
      <w:numFmt w:val="bullet"/>
      <w:lvlText w:val=""/>
      <w:lvlJc w:val="left"/>
      <w:pPr>
        <w:ind w:left="720" w:hanging="360"/>
      </w:pPr>
      <w:rPr>
        <w:rFonts w:ascii="Symbol" w:hAnsi="Symbol"/>
      </w:rPr>
    </w:lvl>
    <w:lvl w:ilvl="3" w:tplc="85E06CDE">
      <w:start w:val="1"/>
      <w:numFmt w:val="bullet"/>
      <w:lvlText w:val=""/>
      <w:lvlJc w:val="left"/>
      <w:pPr>
        <w:ind w:left="720" w:hanging="360"/>
      </w:pPr>
      <w:rPr>
        <w:rFonts w:ascii="Symbol" w:hAnsi="Symbol"/>
      </w:rPr>
    </w:lvl>
    <w:lvl w:ilvl="4" w:tplc="F2B21E4E">
      <w:start w:val="1"/>
      <w:numFmt w:val="bullet"/>
      <w:lvlText w:val=""/>
      <w:lvlJc w:val="left"/>
      <w:pPr>
        <w:ind w:left="720" w:hanging="360"/>
      </w:pPr>
      <w:rPr>
        <w:rFonts w:ascii="Symbol" w:hAnsi="Symbol"/>
      </w:rPr>
    </w:lvl>
    <w:lvl w:ilvl="5" w:tplc="0CFED7E6">
      <w:start w:val="1"/>
      <w:numFmt w:val="bullet"/>
      <w:lvlText w:val=""/>
      <w:lvlJc w:val="left"/>
      <w:pPr>
        <w:ind w:left="720" w:hanging="360"/>
      </w:pPr>
      <w:rPr>
        <w:rFonts w:ascii="Symbol" w:hAnsi="Symbol"/>
      </w:rPr>
    </w:lvl>
    <w:lvl w:ilvl="6" w:tplc="4FA26266">
      <w:start w:val="1"/>
      <w:numFmt w:val="bullet"/>
      <w:lvlText w:val=""/>
      <w:lvlJc w:val="left"/>
      <w:pPr>
        <w:ind w:left="720" w:hanging="360"/>
      </w:pPr>
      <w:rPr>
        <w:rFonts w:ascii="Symbol" w:hAnsi="Symbol"/>
      </w:rPr>
    </w:lvl>
    <w:lvl w:ilvl="7" w:tplc="3C3C2BC6">
      <w:start w:val="1"/>
      <w:numFmt w:val="bullet"/>
      <w:lvlText w:val=""/>
      <w:lvlJc w:val="left"/>
      <w:pPr>
        <w:ind w:left="720" w:hanging="360"/>
      </w:pPr>
      <w:rPr>
        <w:rFonts w:ascii="Symbol" w:hAnsi="Symbol"/>
      </w:rPr>
    </w:lvl>
    <w:lvl w:ilvl="8" w:tplc="D0303C00">
      <w:start w:val="1"/>
      <w:numFmt w:val="bullet"/>
      <w:lvlText w:val=""/>
      <w:lvlJc w:val="left"/>
      <w:pPr>
        <w:ind w:left="720" w:hanging="360"/>
      </w:pPr>
      <w:rPr>
        <w:rFonts w:ascii="Symbol" w:hAnsi="Symbol"/>
      </w:rPr>
    </w:lvl>
  </w:abstractNum>
  <w:abstractNum w:abstractNumId="30" w15:restartNumberingAfterBreak="0">
    <w:nsid w:val="559E6419"/>
    <w:multiLevelType w:val="hybridMultilevel"/>
    <w:tmpl w:val="DED8A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5C563A"/>
    <w:multiLevelType w:val="hybridMultilevel"/>
    <w:tmpl w:val="D2BE7CA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4711E03"/>
    <w:multiLevelType w:val="hybridMultilevel"/>
    <w:tmpl w:val="0F1276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9732A8B"/>
    <w:multiLevelType w:val="hybridMultilevel"/>
    <w:tmpl w:val="A2D8BB56"/>
    <w:lvl w:ilvl="0" w:tplc="72E8CAD8">
      <w:start w:val="1"/>
      <w:numFmt w:val="bullet"/>
      <w:lvlText w:val=""/>
      <w:lvlJc w:val="left"/>
      <w:pPr>
        <w:ind w:left="720" w:hanging="360"/>
      </w:pPr>
      <w:rPr>
        <w:rFonts w:ascii="Symbol" w:hAnsi="Symbol"/>
      </w:rPr>
    </w:lvl>
    <w:lvl w:ilvl="1" w:tplc="4B7AF8D0">
      <w:start w:val="1"/>
      <w:numFmt w:val="bullet"/>
      <w:lvlText w:val=""/>
      <w:lvlJc w:val="left"/>
      <w:pPr>
        <w:ind w:left="720" w:hanging="360"/>
      </w:pPr>
      <w:rPr>
        <w:rFonts w:ascii="Symbol" w:hAnsi="Symbol"/>
      </w:rPr>
    </w:lvl>
    <w:lvl w:ilvl="2" w:tplc="DC36B6BA">
      <w:start w:val="1"/>
      <w:numFmt w:val="bullet"/>
      <w:lvlText w:val=""/>
      <w:lvlJc w:val="left"/>
      <w:pPr>
        <w:ind w:left="720" w:hanging="360"/>
      </w:pPr>
      <w:rPr>
        <w:rFonts w:ascii="Symbol" w:hAnsi="Symbol"/>
      </w:rPr>
    </w:lvl>
    <w:lvl w:ilvl="3" w:tplc="7E24C3E4">
      <w:start w:val="1"/>
      <w:numFmt w:val="bullet"/>
      <w:lvlText w:val=""/>
      <w:lvlJc w:val="left"/>
      <w:pPr>
        <w:ind w:left="720" w:hanging="360"/>
      </w:pPr>
      <w:rPr>
        <w:rFonts w:ascii="Symbol" w:hAnsi="Symbol"/>
      </w:rPr>
    </w:lvl>
    <w:lvl w:ilvl="4" w:tplc="BAB89BC0">
      <w:start w:val="1"/>
      <w:numFmt w:val="bullet"/>
      <w:lvlText w:val=""/>
      <w:lvlJc w:val="left"/>
      <w:pPr>
        <w:ind w:left="720" w:hanging="360"/>
      </w:pPr>
      <w:rPr>
        <w:rFonts w:ascii="Symbol" w:hAnsi="Symbol"/>
      </w:rPr>
    </w:lvl>
    <w:lvl w:ilvl="5" w:tplc="BF40B5B2">
      <w:start w:val="1"/>
      <w:numFmt w:val="bullet"/>
      <w:lvlText w:val=""/>
      <w:lvlJc w:val="left"/>
      <w:pPr>
        <w:ind w:left="720" w:hanging="360"/>
      </w:pPr>
      <w:rPr>
        <w:rFonts w:ascii="Symbol" w:hAnsi="Symbol"/>
      </w:rPr>
    </w:lvl>
    <w:lvl w:ilvl="6" w:tplc="F12A6B14">
      <w:start w:val="1"/>
      <w:numFmt w:val="bullet"/>
      <w:lvlText w:val=""/>
      <w:lvlJc w:val="left"/>
      <w:pPr>
        <w:ind w:left="720" w:hanging="360"/>
      </w:pPr>
      <w:rPr>
        <w:rFonts w:ascii="Symbol" w:hAnsi="Symbol"/>
      </w:rPr>
    </w:lvl>
    <w:lvl w:ilvl="7" w:tplc="54EC384E">
      <w:start w:val="1"/>
      <w:numFmt w:val="bullet"/>
      <w:lvlText w:val=""/>
      <w:lvlJc w:val="left"/>
      <w:pPr>
        <w:ind w:left="720" w:hanging="360"/>
      </w:pPr>
      <w:rPr>
        <w:rFonts w:ascii="Symbol" w:hAnsi="Symbol"/>
      </w:rPr>
    </w:lvl>
    <w:lvl w:ilvl="8" w:tplc="63808ED0">
      <w:start w:val="1"/>
      <w:numFmt w:val="bullet"/>
      <w:lvlText w:val=""/>
      <w:lvlJc w:val="left"/>
      <w:pPr>
        <w:ind w:left="720" w:hanging="360"/>
      </w:pPr>
      <w:rPr>
        <w:rFonts w:ascii="Symbol" w:hAnsi="Symbol"/>
      </w:rPr>
    </w:lvl>
  </w:abstractNum>
  <w:abstractNum w:abstractNumId="34" w15:restartNumberingAfterBreak="0">
    <w:nsid w:val="6AE47D95"/>
    <w:multiLevelType w:val="hybridMultilevel"/>
    <w:tmpl w:val="E3224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66595E"/>
    <w:multiLevelType w:val="hybridMultilevel"/>
    <w:tmpl w:val="5D9A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F8396A"/>
    <w:multiLevelType w:val="hybridMultilevel"/>
    <w:tmpl w:val="BF98D2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2D52A53"/>
    <w:multiLevelType w:val="hybridMultilevel"/>
    <w:tmpl w:val="F3AE1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4DC6B5E"/>
    <w:multiLevelType w:val="hybridMultilevel"/>
    <w:tmpl w:val="D7940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01166F"/>
    <w:multiLevelType w:val="hybridMultilevel"/>
    <w:tmpl w:val="96DE61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81B7A9F"/>
    <w:multiLevelType w:val="hybridMultilevel"/>
    <w:tmpl w:val="F06AC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4F3862"/>
    <w:multiLevelType w:val="hybridMultilevel"/>
    <w:tmpl w:val="AE58E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732710"/>
    <w:multiLevelType w:val="hybridMultilevel"/>
    <w:tmpl w:val="9D8EDB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624507580">
    <w:abstractNumId w:val="34"/>
  </w:num>
  <w:num w:numId="2" w16cid:durableId="589002999">
    <w:abstractNumId w:val="20"/>
  </w:num>
  <w:num w:numId="3" w16cid:durableId="760028862">
    <w:abstractNumId w:val="18"/>
  </w:num>
  <w:num w:numId="4" w16cid:durableId="892304390">
    <w:abstractNumId w:val="7"/>
  </w:num>
  <w:num w:numId="5" w16cid:durableId="1867911757">
    <w:abstractNumId w:val="25"/>
  </w:num>
  <w:num w:numId="6" w16cid:durableId="364671578">
    <w:abstractNumId w:val="3"/>
  </w:num>
  <w:num w:numId="7" w16cid:durableId="873424829">
    <w:abstractNumId w:val="38"/>
  </w:num>
  <w:num w:numId="8" w16cid:durableId="1354914985">
    <w:abstractNumId w:val="41"/>
  </w:num>
  <w:num w:numId="9" w16cid:durableId="745686480">
    <w:abstractNumId w:val="30"/>
  </w:num>
  <w:num w:numId="10" w16cid:durableId="1491944967">
    <w:abstractNumId w:val="15"/>
  </w:num>
  <w:num w:numId="11" w16cid:durableId="1946645345">
    <w:abstractNumId w:val="17"/>
  </w:num>
  <w:num w:numId="12" w16cid:durableId="403264535">
    <w:abstractNumId w:val="5"/>
  </w:num>
  <w:num w:numId="13" w16cid:durableId="1772507943">
    <w:abstractNumId w:val="9"/>
  </w:num>
  <w:num w:numId="14" w16cid:durableId="1436246596">
    <w:abstractNumId w:val="13"/>
  </w:num>
  <w:num w:numId="15" w16cid:durableId="2013408298">
    <w:abstractNumId w:val="1"/>
  </w:num>
  <w:num w:numId="16" w16cid:durableId="633102833">
    <w:abstractNumId w:val="27"/>
  </w:num>
  <w:num w:numId="17" w16cid:durableId="2136361725">
    <w:abstractNumId w:val="35"/>
  </w:num>
  <w:num w:numId="18" w16cid:durableId="1396782738">
    <w:abstractNumId w:val="24"/>
  </w:num>
  <w:num w:numId="19" w16cid:durableId="664554962">
    <w:abstractNumId w:val="28"/>
  </w:num>
  <w:num w:numId="20" w16cid:durableId="1585147775">
    <w:abstractNumId w:val="6"/>
  </w:num>
  <w:num w:numId="21" w16cid:durableId="1262957834">
    <w:abstractNumId w:val="40"/>
  </w:num>
  <w:num w:numId="22" w16cid:durableId="1792166880">
    <w:abstractNumId w:val="37"/>
  </w:num>
  <w:num w:numId="23" w16cid:durableId="1095788324">
    <w:abstractNumId w:val="10"/>
  </w:num>
  <w:num w:numId="24" w16cid:durableId="595942196">
    <w:abstractNumId w:val="21"/>
  </w:num>
  <w:num w:numId="25" w16cid:durableId="456992641">
    <w:abstractNumId w:val="22"/>
  </w:num>
  <w:num w:numId="26" w16cid:durableId="631404095">
    <w:abstractNumId w:val="7"/>
  </w:num>
  <w:num w:numId="27" w16cid:durableId="1630428072">
    <w:abstractNumId w:val="11"/>
  </w:num>
  <w:num w:numId="28" w16cid:durableId="506361099">
    <w:abstractNumId w:val="32"/>
  </w:num>
  <w:num w:numId="29" w16cid:durableId="1174299576">
    <w:abstractNumId w:val="39"/>
  </w:num>
  <w:num w:numId="30" w16cid:durableId="1082331487">
    <w:abstractNumId w:val="8"/>
  </w:num>
  <w:num w:numId="31" w16cid:durableId="1141800217">
    <w:abstractNumId w:val="16"/>
  </w:num>
  <w:num w:numId="32" w16cid:durableId="1380739382">
    <w:abstractNumId w:val="12"/>
  </w:num>
  <w:num w:numId="33" w16cid:durableId="855342345">
    <w:abstractNumId w:val="14"/>
  </w:num>
  <w:num w:numId="34" w16cid:durableId="240457298">
    <w:abstractNumId w:val="0"/>
  </w:num>
  <w:num w:numId="35" w16cid:durableId="873496250">
    <w:abstractNumId w:val="31"/>
  </w:num>
  <w:num w:numId="36" w16cid:durableId="1878155782">
    <w:abstractNumId w:val="36"/>
  </w:num>
  <w:num w:numId="37" w16cid:durableId="1843354474">
    <w:abstractNumId w:val="4"/>
  </w:num>
  <w:num w:numId="38" w16cid:durableId="1901280876">
    <w:abstractNumId w:val="2"/>
  </w:num>
  <w:num w:numId="39" w16cid:durableId="635063453">
    <w:abstractNumId w:val="42"/>
  </w:num>
  <w:num w:numId="40" w16cid:durableId="1121219294">
    <w:abstractNumId w:val="23"/>
  </w:num>
  <w:num w:numId="41" w16cid:durableId="751196413">
    <w:abstractNumId w:val="26"/>
  </w:num>
  <w:num w:numId="42" w16cid:durableId="309137559">
    <w:abstractNumId w:val="33"/>
  </w:num>
  <w:num w:numId="43" w16cid:durableId="766193497">
    <w:abstractNumId w:val="29"/>
  </w:num>
  <w:num w:numId="44" w16cid:durableId="4935407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Kellar">
    <w15:presenceInfo w15:providerId="AD" w15:userId="S::SMcKellar@scottishrenewables.com::80ea12d6-4b06-494c-a5ab-6f136150c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22"/>
    <w:rsid w:val="000113E8"/>
    <w:rsid w:val="000126C8"/>
    <w:rsid w:val="00012B9F"/>
    <w:rsid w:val="0001749F"/>
    <w:rsid w:val="00025862"/>
    <w:rsid w:val="00027F8A"/>
    <w:rsid w:val="00030922"/>
    <w:rsid w:val="00031A53"/>
    <w:rsid w:val="00033870"/>
    <w:rsid w:val="00034035"/>
    <w:rsid w:val="00034D01"/>
    <w:rsid w:val="00036C2A"/>
    <w:rsid w:val="00040078"/>
    <w:rsid w:val="00040F36"/>
    <w:rsid w:val="00047314"/>
    <w:rsid w:val="00052744"/>
    <w:rsid w:val="00057C23"/>
    <w:rsid w:val="00061F2B"/>
    <w:rsid w:val="000627C3"/>
    <w:rsid w:val="00063F3E"/>
    <w:rsid w:val="0006693F"/>
    <w:rsid w:val="00072C72"/>
    <w:rsid w:val="00077C68"/>
    <w:rsid w:val="00080EA3"/>
    <w:rsid w:val="00084150"/>
    <w:rsid w:val="00084287"/>
    <w:rsid w:val="00086BC9"/>
    <w:rsid w:val="0008782D"/>
    <w:rsid w:val="00094626"/>
    <w:rsid w:val="000A1A4A"/>
    <w:rsid w:val="000A3D09"/>
    <w:rsid w:val="000A6951"/>
    <w:rsid w:val="000A7A5C"/>
    <w:rsid w:val="000B2DBD"/>
    <w:rsid w:val="000B38A1"/>
    <w:rsid w:val="000B39E8"/>
    <w:rsid w:val="000B4793"/>
    <w:rsid w:val="000B4D28"/>
    <w:rsid w:val="000B6078"/>
    <w:rsid w:val="000B7CDB"/>
    <w:rsid w:val="000C079E"/>
    <w:rsid w:val="000C0F0D"/>
    <w:rsid w:val="000C130F"/>
    <w:rsid w:val="000C32EF"/>
    <w:rsid w:val="000C43F3"/>
    <w:rsid w:val="000C518C"/>
    <w:rsid w:val="000C6C93"/>
    <w:rsid w:val="000D7377"/>
    <w:rsid w:val="000E1A83"/>
    <w:rsid w:val="000E5D34"/>
    <w:rsid w:val="000F03E0"/>
    <w:rsid w:val="000F14C6"/>
    <w:rsid w:val="000F3407"/>
    <w:rsid w:val="000F5A60"/>
    <w:rsid w:val="001001C9"/>
    <w:rsid w:val="00100651"/>
    <w:rsid w:val="001018F3"/>
    <w:rsid w:val="00102815"/>
    <w:rsid w:val="001035B3"/>
    <w:rsid w:val="00111107"/>
    <w:rsid w:val="001135B1"/>
    <w:rsid w:val="00117374"/>
    <w:rsid w:val="0012127A"/>
    <w:rsid w:val="001237ED"/>
    <w:rsid w:val="00124F79"/>
    <w:rsid w:val="001266D0"/>
    <w:rsid w:val="00130F59"/>
    <w:rsid w:val="00141419"/>
    <w:rsid w:val="0014483B"/>
    <w:rsid w:val="00147A25"/>
    <w:rsid w:val="00147C4D"/>
    <w:rsid w:val="001574FF"/>
    <w:rsid w:val="0016072C"/>
    <w:rsid w:val="001633CD"/>
    <w:rsid w:val="00167D4C"/>
    <w:rsid w:val="00171AB7"/>
    <w:rsid w:val="00171F90"/>
    <w:rsid w:val="0017271C"/>
    <w:rsid w:val="0017288A"/>
    <w:rsid w:val="00176A38"/>
    <w:rsid w:val="00180234"/>
    <w:rsid w:val="001834F7"/>
    <w:rsid w:val="00183B4C"/>
    <w:rsid w:val="00186925"/>
    <w:rsid w:val="00193712"/>
    <w:rsid w:val="001949AC"/>
    <w:rsid w:val="00194D53"/>
    <w:rsid w:val="001A0FAF"/>
    <w:rsid w:val="001A12AC"/>
    <w:rsid w:val="001A7DB6"/>
    <w:rsid w:val="001B4BDE"/>
    <w:rsid w:val="001B6C70"/>
    <w:rsid w:val="001B79E5"/>
    <w:rsid w:val="001C0C2A"/>
    <w:rsid w:val="001C1505"/>
    <w:rsid w:val="001C2BAE"/>
    <w:rsid w:val="001C4A88"/>
    <w:rsid w:val="001C5BC1"/>
    <w:rsid w:val="001D0D8D"/>
    <w:rsid w:val="001D33B0"/>
    <w:rsid w:val="001E1794"/>
    <w:rsid w:val="001E4EF8"/>
    <w:rsid w:val="001E5DCD"/>
    <w:rsid w:val="001E61AE"/>
    <w:rsid w:val="001F04CB"/>
    <w:rsid w:val="001F08BF"/>
    <w:rsid w:val="001F35AE"/>
    <w:rsid w:val="001F5B30"/>
    <w:rsid w:val="001F5EC2"/>
    <w:rsid w:val="001F668D"/>
    <w:rsid w:val="001F718C"/>
    <w:rsid w:val="0020004E"/>
    <w:rsid w:val="002002BA"/>
    <w:rsid w:val="002005AB"/>
    <w:rsid w:val="00202BC2"/>
    <w:rsid w:val="002042A6"/>
    <w:rsid w:val="00205058"/>
    <w:rsid w:val="00205D9D"/>
    <w:rsid w:val="002112AD"/>
    <w:rsid w:val="00217606"/>
    <w:rsid w:val="00222162"/>
    <w:rsid w:val="0023009A"/>
    <w:rsid w:val="0023201A"/>
    <w:rsid w:val="00232965"/>
    <w:rsid w:val="00232AF1"/>
    <w:rsid w:val="00232CC0"/>
    <w:rsid w:val="002365BA"/>
    <w:rsid w:val="002440BF"/>
    <w:rsid w:val="00246522"/>
    <w:rsid w:val="00246B7B"/>
    <w:rsid w:val="00246D3A"/>
    <w:rsid w:val="00250CCA"/>
    <w:rsid w:val="0025611D"/>
    <w:rsid w:val="00256919"/>
    <w:rsid w:val="00260052"/>
    <w:rsid w:val="00263AD5"/>
    <w:rsid w:val="00265E65"/>
    <w:rsid w:val="00267CBE"/>
    <w:rsid w:val="002707D7"/>
    <w:rsid w:val="00270AD7"/>
    <w:rsid w:val="00274E5F"/>
    <w:rsid w:val="002764BC"/>
    <w:rsid w:val="00277473"/>
    <w:rsid w:val="0028366A"/>
    <w:rsid w:val="0028477C"/>
    <w:rsid w:val="002852FF"/>
    <w:rsid w:val="0028717A"/>
    <w:rsid w:val="00290D1C"/>
    <w:rsid w:val="00290D69"/>
    <w:rsid w:val="00294CE7"/>
    <w:rsid w:val="002A0885"/>
    <w:rsid w:val="002A4C50"/>
    <w:rsid w:val="002A58A9"/>
    <w:rsid w:val="002B080D"/>
    <w:rsid w:val="002B3C4B"/>
    <w:rsid w:val="002B4690"/>
    <w:rsid w:val="002B588C"/>
    <w:rsid w:val="002B6A2B"/>
    <w:rsid w:val="002B7529"/>
    <w:rsid w:val="002C3017"/>
    <w:rsid w:val="002C3A2C"/>
    <w:rsid w:val="002C3A72"/>
    <w:rsid w:val="002C5589"/>
    <w:rsid w:val="002C6788"/>
    <w:rsid w:val="002C7B10"/>
    <w:rsid w:val="002D0277"/>
    <w:rsid w:val="002D14FF"/>
    <w:rsid w:val="002D21C2"/>
    <w:rsid w:val="002D6927"/>
    <w:rsid w:val="002D79C0"/>
    <w:rsid w:val="002E0188"/>
    <w:rsid w:val="002E1B92"/>
    <w:rsid w:val="002E612B"/>
    <w:rsid w:val="002F214A"/>
    <w:rsid w:val="002F2F31"/>
    <w:rsid w:val="0030128C"/>
    <w:rsid w:val="00303184"/>
    <w:rsid w:val="00304D7B"/>
    <w:rsid w:val="0030733B"/>
    <w:rsid w:val="00311254"/>
    <w:rsid w:val="00311534"/>
    <w:rsid w:val="00314040"/>
    <w:rsid w:val="003161C9"/>
    <w:rsid w:val="00316BC7"/>
    <w:rsid w:val="00320762"/>
    <w:rsid w:val="00324E86"/>
    <w:rsid w:val="00327E93"/>
    <w:rsid w:val="00330783"/>
    <w:rsid w:val="003342CB"/>
    <w:rsid w:val="0033510A"/>
    <w:rsid w:val="003358DE"/>
    <w:rsid w:val="0033666C"/>
    <w:rsid w:val="00340F80"/>
    <w:rsid w:val="00343C44"/>
    <w:rsid w:val="00345022"/>
    <w:rsid w:val="0035117F"/>
    <w:rsid w:val="00351540"/>
    <w:rsid w:val="00351A48"/>
    <w:rsid w:val="0035230C"/>
    <w:rsid w:val="00353DA9"/>
    <w:rsid w:val="00357001"/>
    <w:rsid w:val="0035705D"/>
    <w:rsid w:val="00357D0D"/>
    <w:rsid w:val="003600EE"/>
    <w:rsid w:val="00362C18"/>
    <w:rsid w:val="00364419"/>
    <w:rsid w:val="003669D6"/>
    <w:rsid w:val="003701BC"/>
    <w:rsid w:val="003713D0"/>
    <w:rsid w:val="00371E37"/>
    <w:rsid w:val="00374E88"/>
    <w:rsid w:val="003758EE"/>
    <w:rsid w:val="00375E9A"/>
    <w:rsid w:val="0038195A"/>
    <w:rsid w:val="00386D80"/>
    <w:rsid w:val="00392DAE"/>
    <w:rsid w:val="00395A9F"/>
    <w:rsid w:val="003967AA"/>
    <w:rsid w:val="00397DB2"/>
    <w:rsid w:val="003A0711"/>
    <w:rsid w:val="003A170C"/>
    <w:rsid w:val="003A77AC"/>
    <w:rsid w:val="003B0384"/>
    <w:rsid w:val="003B0C8D"/>
    <w:rsid w:val="003B1CC8"/>
    <w:rsid w:val="003B26D4"/>
    <w:rsid w:val="003B54AA"/>
    <w:rsid w:val="003C0F72"/>
    <w:rsid w:val="003C1457"/>
    <w:rsid w:val="003C1BA9"/>
    <w:rsid w:val="003C2481"/>
    <w:rsid w:val="003C5137"/>
    <w:rsid w:val="003C57E5"/>
    <w:rsid w:val="003D13FA"/>
    <w:rsid w:val="003D6FA2"/>
    <w:rsid w:val="003E263F"/>
    <w:rsid w:val="003E3D01"/>
    <w:rsid w:val="003E76E9"/>
    <w:rsid w:val="003F0821"/>
    <w:rsid w:val="003F252F"/>
    <w:rsid w:val="003F30FE"/>
    <w:rsid w:val="003F54BD"/>
    <w:rsid w:val="003F593B"/>
    <w:rsid w:val="00400594"/>
    <w:rsid w:val="00401180"/>
    <w:rsid w:val="00401C78"/>
    <w:rsid w:val="00403832"/>
    <w:rsid w:val="004052BA"/>
    <w:rsid w:val="00413450"/>
    <w:rsid w:val="00417524"/>
    <w:rsid w:val="00421A7D"/>
    <w:rsid w:val="00422108"/>
    <w:rsid w:val="00422354"/>
    <w:rsid w:val="004369E5"/>
    <w:rsid w:val="00436C09"/>
    <w:rsid w:val="00440E82"/>
    <w:rsid w:val="0044247C"/>
    <w:rsid w:val="0044369B"/>
    <w:rsid w:val="004447C0"/>
    <w:rsid w:val="00451B31"/>
    <w:rsid w:val="00452522"/>
    <w:rsid w:val="004533BE"/>
    <w:rsid w:val="00454217"/>
    <w:rsid w:val="00454638"/>
    <w:rsid w:val="00456D07"/>
    <w:rsid w:val="00460455"/>
    <w:rsid w:val="00463010"/>
    <w:rsid w:val="00463551"/>
    <w:rsid w:val="0046397D"/>
    <w:rsid w:val="004647E9"/>
    <w:rsid w:val="00473AAB"/>
    <w:rsid w:val="00474185"/>
    <w:rsid w:val="004745B1"/>
    <w:rsid w:val="00476719"/>
    <w:rsid w:val="00480A97"/>
    <w:rsid w:val="00481C05"/>
    <w:rsid w:val="00485B23"/>
    <w:rsid w:val="00491A49"/>
    <w:rsid w:val="00492380"/>
    <w:rsid w:val="00495CBD"/>
    <w:rsid w:val="00497A5A"/>
    <w:rsid w:val="004A2F86"/>
    <w:rsid w:val="004A36A7"/>
    <w:rsid w:val="004A3DA6"/>
    <w:rsid w:val="004A4B39"/>
    <w:rsid w:val="004A4F9C"/>
    <w:rsid w:val="004A531A"/>
    <w:rsid w:val="004A6304"/>
    <w:rsid w:val="004B07EF"/>
    <w:rsid w:val="004B1F39"/>
    <w:rsid w:val="004B4B9F"/>
    <w:rsid w:val="004B7236"/>
    <w:rsid w:val="004C05DF"/>
    <w:rsid w:val="004C11B9"/>
    <w:rsid w:val="004C12B5"/>
    <w:rsid w:val="004C1930"/>
    <w:rsid w:val="004C21BB"/>
    <w:rsid w:val="004C27DF"/>
    <w:rsid w:val="004C32AE"/>
    <w:rsid w:val="004C6629"/>
    <w:rsid w:val="004D2D88"/>
    <w:rsid w:val="004D56D9"/>
    <w:rsid w:val="004D788E"/>
    <w:rsid w:val="004E12F3"/>
    <w:rsid w:val="004E1ABD"/>
    <w:rsid w:val="004E69DA"/>
    <w:rsid w:val="004F4CD6"/>
    <w:rsid w:val="00500BCA"/>
    <w:rsid w:val="00500BFD"/>
    <w:rsid w:val="00503CD5"/>
    <w:rsid w:val="00504635"/>
    <w:rsid w:val="00504F76"/>
    <w:rsid w:val="00506C0F"/>
    <w:rsid w:val="00507838"/>
    <w:rsid w:val="005104A1"/>
    <w:rsid w:val="0051211A"/>
    <w:rsid w:val="00514351"/>
    <w:rsid w:val="005147B7"/>
    <w:rsid w:val="00514D2F"/>
    <w:rsid w:val="005228A3"/>
    <w:rsid w:val="00524608"/>
    <w:rsid w:val="00526E40"/>
    <w:rsid w:val="00532126"/>
    <w:rsid w:val="00532239"/>
    <w:rsid w:val="00532A10"/>
    <w:rsid w:val="0053475E"/>
    <w:rsid w:val="00535461"/>
    <w:rsid w:val="00535B5F"/>
    <w:rsid w:val="00536E36"/>
    <w:rsid w:val="00537508"/>
    <w:rsid w:val="00541A82"/>
    <w:rsid w:val="0054285E"/>
    <w:rsid w:val="0054427E"/>
    <w:rsid w:val="00547813"/>
    <w:rsid w:val="00551FB2"/>
    <w:rsid w:val="00552EC5"/>
    <w:rsid w:val="00553330"/>
    <w:rsid w:val="00556C32"/>
    <w:rsid w:val="00560934"/>
    <w:rsid w:val="00560C31"/>
    <w:rsid w:val="00561F9E"/>
    <w:rsid w:val="005720A0"/>
    <w:rsid w:val="00572BC8"/>
    <w:rsid w:val="00574846"/>
    <w:rsid w:val="00576BC6"/>
    <w:rsid w:val="00590C8A"/>
    <w:rsid w:val="005940D0"/>
    <w:rsid w:val="00594BB0"/>
    <w:rsid w:val="0059686D"/>
    <w:rsid w:val="005A180B"/>
    <w:rsid w:val="005A2038"/>
    <w:rsid w:val="005B56A7"/>
    <w:rsid w:val="005B6A89"/>
    <w:rsid w:val="005C3539"/>
    <w:rsid w:val="005C387B"/>
    <w:rsid w:val="005C5CC9"/>
    <w:rsid w:val="005C63D6"/>
    <w:rsid w:val="005C6AB6"/>
    <w:rsid w:val="005D1A8B"/>
    <w:rsid w:val="005D3B03"/>
    <w:rsid w:val="005D465D"/>
    <w:rsid w:val="005D4746"/>
    <w:rsid w:val="005D550E"/>
    <w:rsid w:val="005D56DA"/>
    <w:rsid w:val="005E1FB0"/>
    <w:rsid w:val="005E7CD7"/>
    <w:rsid w:val="005F2A7E"/>
    <w:rsid w:val="005F756F"/>
    <w:rsid w:val="00600164"/>
    <w:rsid w:val="006023E1"/>
    <w:rsid w:val="00603601"/>
    <w:rsid w:val="00603FB6"/>
    <w:rsid w:val="0060584D"/>
    <w:rsid w:val="006075BF"/>
    <w:rsid w:val="0061034D"/>
    <w:rsid w:val="006126BC"/>
    <w:rsid w:val="006213F6"/>
    <w:rsid w:val="00622A1D"/>
    <w:rsid w:val="00635B39"/>
    <w:rsid w:val="00635E2E"/>
    <w:rsid w:val="006408AE"/>
    <w:rsid w:val="00640C5D"/>
    <w:rsid w:val="006419AE"/>
    <w:rsid w:val="006421E4"/>
    <w:rsid w:val="00645C42"/>
    <w:rsid w:val="00646089"/>
    <w:rsid w:val="006468AD"/>
    <w:rsid w:val="00646CCF"/>
    <w:rsid w:val="00650496"/>
    <w:rsid w:val="006515A4"/>
    <w:rsid w:val="006520D0"/>
    <w:rsid w:val="00652353"/>
    <w:rsid w:val="00652889"/>
    <w:rsid w:val="0065601F"/>
    <w:rsid w:val="006652E2"/>
    <w:rsid w:val="00665C1C"/>
    <w:rsid w:val="00670DDF"/>
    <w:rsid w:val="0067324F"/>
    <w:rsid w:val="00675F31"/>
    <w:rsid w:val="00677159"/>
    <w:rsid w:val="00677C23"/>
    <w:rsid w:val="0068206A"/>
    <w:rsid w:val="00683948"/>
    <w:rsid w:val="006839E9"/>
    <w:rsid w:val="00684066"/>
    <w:rsid w:val="0068433C"/>
    <w:rsid w:val="00684941"/>
    <w:rsid w:val="00692A7F"/>
    <w:rsid w:val="006945C0"/>
    <w:rsid w:val="00695C14"/>
    <w:rsid w:val="0069735D"/>
    <w:rsid w:val="0069749F"/>
    <w:rsid w:val="006A150E"/>
    <w:rsid w:val="006A1B32"/>
    <w:rsid w:val="006A3E4A"/>
    <w:rsid w:val="006A500F"/>
    <w:rsid w:val="006A6BAB"/>
    <w:rsid w:val="006B01D3"/>
    <w:rsid w:val="006B1F86"/>
    <w:rsid w:val="006B201F"/>
    <w:rsid w:val="006B29EE"/>
    <w:rsid w:val="006B56D5"/>
    <w:rsid w:val="006C12CF"/>
    <w:rsid w:val="006C2AD4"/>
    <w:rsid w:val="006D0E8F"/>
    <w:rsid w:val="006D461D"/>
    <w:rsid w:val="006D57FE"/>
    <w:rsid w:val="006D5C30"/>
    <w:rsid w:val="006E1C5B"/>
    <w:rsid w:val="006E2F6E"/>
    <w:rsid w:val="006E369D"/>
    <w:rsid w:val="006E37CE"/>
    <w:rsid w:val="006E6E6A"/>
    <w:rsid w:val="006F3AF9"/>
    <w:rsid w:val="006F3D88"/>
    <w:rsid w:val="006F3E58"/>
    <w:rsid w:val="006F4D21"/>
    <w:rsid w:val="006F62EC"/>
    <w:rsid w:val="006F772B"/>
    <w:rsid w:val="006F7EAA"/>
    <w:rsid w:val="00700D44"/>
    <w:rsid w:val="0070520B"/>
    <w:rsid w:val="00711717"/>
    <w:rsid w:val="00714211"/>
    <w:rsid w:val="0072086D"/>
    <w:rsid w:val="007220A6"/>
    <w:rsid w:val="0072359F"/>
    <w:rsid w:val="00723E66"/>
    <w:rsid w:val="0072536F"/>
    <w:rsid w:val="0072643D"/>
    <w:rsid w:val="007272A3"/>
    <w:rsid w:val="00730F65"/>
    <w:rsid w:val="007312FF"/>
    <w:rsid w:val="00733CC6"/>
    <w:rsid w:val="00733E78"/>
    <w:rsid w:val="00744039"/>
    <w:rsid w:val="00746BF0"/>
    <w:rsid w:val="00751879"/>
    <w:rsid w:val="00752233"/>
    <w:rsid w:val="007522FE"/>
    <w:rsid w:val="00755ACA"/>
    <w:rsid w:val="00762C1B"/>
    <w:rsid w:val="007678A9"/>
    <w:rsid w:val="00770A7D"/>
    <w:rsid w:val="00770B91"/>
    <w:rsid w:val="00770E46"/>
    <w:rsid w:val="00774335"/>
    <w:rsid w:val="00774E4C"/>
    <w:rsid w:val="00776C18"/>
    <w:rsid w:val="007825CE"/>
    <w:rsid w:val="0078283A"/>
    <w:rsid w:val="00783087"/>
    <w:rsid w:val="00784847"/>
    <w:rsid w:val="0079091B"/>
    <w:rsid w:val="007922CA"/>
    <w:rsid w:val="00793C9C"/>
    <w:rsid w:val="00794B59"/>
    <w:rsid w:val="00796AFD"/>
    <w:rsid w:val="007979A2"/>
    <w:rsid w:val="00797CDD"/>
    <w:rsid w:val="007A214C"/>
    <w:rsid w:val="007A7AFA"/>
    <w:rsid w:val="007B01AC"/>
    <w:rsid w:val="007B5851"/>
    <w:rsid w:val="007B7842"/>
    <w:rsid w:val="007C031D"/>
    <w:rsid w:val="007C22E5"/>
    <w:rsid w:val="007C2A3C"/>
    <w:rsid w:val="007C3C2B"/>
    <w:rsid w:val="007C67C9"/>
    <w:rsid w:val="007D46E3"/>
    <w:rsid w:val="007E5EA8"/>
    <w:rsid w:val="007E6194"/>
    <w:rsid w:val="007F1739"/>
    <w:rsid w:val="00802045"/>
    <w:rsid w:val="00803C2B"/>
    <w:rsid w:val="008040BA"/>
    <w:rsid w:val="0080461F"/>
    <w:rsid w:val="00805FB8"/>
    <w:rsid w:val="0081205C"/>
    <w:rsid w:val="00815BC1"/>
    <w:rsid w:val="008170AA"/>
    <w:rsid w:val="00817E6E"/>
    <w:rsid w:val="0082191A"/>
    <w:rsid w:val="00823313"/>
    <w:rsid w:val="00824B0D"/>
    <w:rsid w:val="00827EC2"/>
    <w:rsid w:val="00831453"/>
    <w:rsid w:val="00832677"/>
    <w:rsid w:val="008352B1"/>
    <w:rsid w:val="00837D60"/>
    <w:rsid w:val="008403BE"/>
    <w:rsid w:val="00842B4B"/>
    <w:rsid w:val="00844BBF"/>
    <w:rsid w:val="0085114E"/>
    <w:rsid w:val="00854847"/>
    <w:rsid w:val="00855279"/>
    <w:rsid w:val="00857B0A"/>
    <w:rsid w:val="008609FC"/>
    <w:rsid w:val="00862996"/>
    <w:rsid w:val="00865CD2"/>
    <w:rsid w:val="00866ACB"/>
    <w:rsid w:val="008672C2"/>
    <w:rsid w:val="00867B1E"/>
    <w:rsid w:val="00867BDD"/>
    <w:rsid w:val="00870D7F"/>
    <w:rsid w:val="00871D9A"/>
    <w:rsid w:val="008827AF"/>
    <w:rsid w:val="00887D38"/>
    <w:rsid w:val="008950CF"/>
    <w:rsid w:val="008A0DB2"/>
    <w:rsid w:val="008A3CD0"/>
    <w:rsid w:val="008A75A5"/>
    <w:rsid w:val="008B21C0"/>
    <w:rsid w:val="008B669C"/>
    <w:rsid w:val="008C1E7A"/>
    <w:rsid w:val="008C34A7"/>
    <w:rsid w:val="008C38F2"/>
    <w:rsid w:val="008C6A53"/>
    <w:rsid w:val="008C7350"/>
    <w:rsid w:val="008C7498"/>
    <w:rsid w:val="008D2DB8"/>
    <w:rsid w:val="008D422C"/>
    <w:rsid w:val="008D7254"/>
    <w:rsid w:val="008E3276"/>
    <w:rsid w:val="008E4EF6"/>
    <w:rsid w:val="008E551C"/>
    <w:rsid w:val="008E5D1D"/>
    <w:rsid w:val="008F008B"/>
    <w:rsid w:val="008F1316"/>
    <w:rsid w:val="008F1340"/>
    <w:rsid w:val="008F19FD"/>
    <w:rsid w:val="008F3A55"/>
    <w:rsid w:val="008F4448"/>
    <w:rsid w:val="008F46F6"/>
    <w:rsid w:val="008F52A1"/>
    <w:rsid w:val="008F681B"/>
    <w:rsid w:val="008F6AB1"/>
    <w:rsid w:val="008F7177"/>
    <w:rsid w:val="0090203A"/>
    <w:rsid w:val="00903E63"/>
    <w:rsid w:val="00910CD1"/>
    <w:rsid w:val="00913AD2"/>
    <w:rsid w:val="00915A30"/>
    <w:rsid w:val="00921C9C"/>
    <w:rsid w:val="0092249F"/>
    <w:rsid w:val="00923EF7"/>
    <w:rsid w:val="00924F04"/>
    <w:rsid w:val="00926C61"/>
    <w:rsid w:val="009335E7"/>
    <w:rsid w:val="00942555"/>
    <w:rsid w:val="009426C3"/>
    <w:rsid w:val="00943273"/>
    <w:rsid w:val="00945504"/>
    <w:rsid w:val="009464F3"/>
    <w:rsid w:val="009502F1"/>
    <w:rsid w:val="0095090A"/>
    <w:rsid w:val="009547C6"/>
    <w:rsid w:val="00956F84"/>
    <w:rsid w:val="00960389"/>
    <w:rsid w:val="009633DA"/>
    <w:rsid w:val="00963F4A"/>
    <w:rsid w:val="009645C9"/>
    <w:rsid w:val="00964BF8"/>
    <w:rsid w:val="009658A4"/>
    <w:rsid w:val="00965FF2"/>
    <w:rsid w:val="00970581"/>
    <w:rsid w:val="00977664"/>
    <w:rsid w:val="00981430"/>
    <w:rsid w:val="00981853"/>
    <w:rsid w:val="00987982"/>
    <w:rsid w:val="009901DC"/>
    <w:rsid w:val="00991482"/>
    <w:rsid w:val="009963B9"/>
    <w:rsid w:val="0099718B"/>
    <w:rsid w:val="009A0E4C"/>
    <w:rsid w:val="009A1284"/>
    <w:rsid w:val="009A7163"/>
    <w:rsid w:val="009A781E"/>
    <w:rsid w:val="009A785E"/>
    <w:rsid w:val="009A7A16"/>
    <w:rsid w:val="009B2E1A"/>
    <w:rsid w:val="009B3F5E"/>
    <w:rsid w:val="009B4FF1"/>
    <w:rsid w:val="009B7159"/>
    <w:rsid w:val="009C11B8"/>
    <w:rsid w:val="009C20A3"/>
    <w:rsid w:val="009C2207"/>
    <w:rsid w:val="009C3072"/>
    <w:rsid w:val="009C42A3"/>
    <w:rsid w:val="009C4AC7"/>
    <w:rsid w:val="009D3493"/>
    <w:rsid w:val="009D36AF"/>
    <w:rsid w:val="009D3D02"/>
    <w:rsid w:val="009D4BB2"/>
    <w:rsid w:val="009E1BDE"/>
    <w:rsid w:val="009E6ACB"/>
    <w:rsid w:val="009E6D5C"/>
    <w:rsid w:val="009F02EB"/>
    <w:rsid w:val="009F2AC4"/>
    <w:rsid w:val="009F2BF5"/>
    <w:rsid w:val="009F2ED1"/>
    <w:rsid w:val="009F40EF"/>
    <w:rsid w:val="009F4E34"/>
    <w:rsid w:val="009F544B"/>
    <w:rsid w:val="009F58EC"/>
    <w:rsid w:val="00A000B0"/>
    <w:rsid w:val="00A03EE5"/>
    <w:rsid w:val="00A045F1"/>
    <w:rsid w:val="00A04BEE"/>
    <w:rsid w:val="00A06739"/>
    <w:rsid w:val="00A10A01"/>
    <w:rsid w:val="00A14E33"/>
    <w:rsid w:val="00A17299"/>
    <w:rsid w:val="00A207AC"/>
    <w:rsid w:val="00A24D86"/>
    <w:rsid w:val="00A2509A"/>
    <w:rsid w:val="00A2637E"/>
    <w:rsid w:val="00A2689D"/>
    <w:rsid w:val="00A27518"/>
    <w:rsid w:val="00A30213"/>
    <w:rsid w:val="00A32A02"/>
    <w:rsid w:val="00A3668A"/>
    <w:rsid w:val="00A414E4"/>
    <w:rsid w:val="00A417B8"/>
    <w:rsid w:val="00A43A5E"/>
    <w:rsid w:val="00A43FD4"/>
    <w:rsid w:val="00A4571E"/>
    <w:rsid w:val="00A4623C"/>
    <w:rsid w:val="00A46A53"/>
    <w:rsid w:val="00A5092B"/>
    <w:rsid w:val="00A50AF2"/>
    <w:rsid w:val="00A53491"/>
    <w:rsid w:val="00A558E7"/>
    <w:rsid w:val="00A6019A"/>
    <w:rsid w:val="00A60FDB"/>
    <w:rsid w:val="00A64FB9"/>
    <w:rsid w:val="00A667F8"/>
    <w:rsid w:val="00A74BEE"/>
    <w:rsid w:val="00A82C22"/>
    <w:rsid w:val="00A82D77"/>
    <w:rsid w:val="00A838B1"/>
    <w:rsid w:val="00A83E3D"/>
    <w:rsid w:val="00A84989"/>
    <w:rsid w:val="00A85B40"/>
    <w:rsid w:val="00A9249F"/>
    <w:rsid w:val="00A94B2F"/>
    <w:rsid w:val="00A964A2"/>
    <w:rsid w:val="00A9795A"/>
    <w:rsid w:val="00AA2897"/>
    <w:rsid w:val="00AA3031"/>
    <w:rsid w:val="00AA4F61"/>
    <w:rsid w:val="00AA7C66"/>
    <w:rsid w:val="00AC3049"/>
    <w:rsid w:val="00AC3D14"/>
    <w:rsid w:val="00AC3EEA"/>
    <w:rsid w:val="00AC447F"/>
    <w:rsid w:val="00AC4979"/>
    <w:rsid w:val="00AC4F0B"/>
    <w:rsid w:val="00AC4F0F"/>
    <w:rsid w:val="00AC7E72"/>
    <w:rsid w:val="00AD03C9"/>
    <w:rsid w:val="00AD2419"/>
    <w:rsid w:val="00AD370D"/>
    <w:rsid w:val="00AE1CAC"/>
    <w:rsid w:val="00AE2B6B"/>
    <w:rsid w:val="00AE35AF"/>
    <w:rsid w:val="00AE4AB3"/>
    <w:rsid w:val="00AE618E"/>
    <w:rsid w:val="00AE66E9"/>
    <w:rsid w:val="00AE7B6D"/>
    <w:rsid w:val="00AE7E77"/>
    <w:rsid w:val="00AF1A3C"/>
    <w:rsid w:val="00AF1E06"/>
    <w:rsid w:val="00AF2D7B"/>
    <w:rsid w:val="00AF4BF1"/>
    <w:rsid w:val="00AF57B0"/>
    <w:rsid w:val="00AF5930"/>
    <w:rsid w:val="00B020CA"/>
    <w:rsid w:val="00B07B29"/>
    <w:rsid w:val="00B10317"/>
    <w:rsid w:val="00B1058A"/>
    <w:rsid w:val="00B12EF4"/>
    <w:rsid w:val="00B1509A"/>
    <w:rsid w:val="00B152E0"/>
    <w:rsid w:val="00B16D30"/>
    <w:rsid w:val="00B17D3F"/>
    <w:rsid w:val="00B3182A"/>
    <w:rsid w:val="00B411D5"/>
    <w:rsid w:val="00B419CF"/>
    <w:rsid w:val="00B41CC1"/>
    <w:rsid w:val="00B42E90"/>
    <w:rsid w:val="00B438B5"/>
    <w:rsid w:val="00B4533A"/>
    <w:rsid w:val="00B4751F"/>
    <w:rsid w:val="00B47A22"/>
    <w:rsid w:val="00B53B8B"/>
    <w:rsid w:val="00B5511B"/>
    <w:rsid w:val="00B55AA5"/>
    <w:rsid w:val="00B57DF0"/>
    <w:rsid w:val="00B60B38"/>
    <w:rsid w:val="00B6103D"/>
    <w:rsid w:val="00B610AE"/>
    <w:rsid w:val="00B623C1"/>
    <w:rsid w:val="00B6527B"/>
    <w:rsid w:val="00B65BD1"/>
    <w:rsid w:val="00B665BD"/>
    <w:rsid w:val="00B67000"/>
    <w:rsid w:val="00B70A75"/>
    <w:rsid w:val="00B74D84"/>
    <w:rsid w:val="00B82A87"/>
    <w:rsid w:val="00B84251"/>
    <w:rsid w:val="00B86D2C"/>
    <w:rsid w:val="00B9019C"/>
    <w:rsid w:val="00B912C2"/>
    <w:rsid w:val="00B9309D"/>
    <w:rsid w:val="00B94B20"/>
    <w:rsid w:val="00B96DA5"/>
    <w:rsid w:val="00BA606A"/>
    <w:rsid w:val="00BA65A0"/>
    <w:rsid w:val="00BA6AF6"/>
    <w:rsid w:val="00BA6D32"/>
    <w:rsid w:val="00BA742F"/>
    <w:rsid w:val="00BB4378"/>
    <w:rsid w:val="00BB6069"/>
    <w:rsid w:val="00BB6ED0"/>
    <w:rsid w:val="00BC1230"/>
    <w:rsid w:val="00BC3417"/>
    <w:rsid w:val="00BC377F"/>
    <w:rsid w:val="00BC383E"/>
    <w:rsid w:val="00BC5A9F"/>
    <w:rsid w:val="00BD1AD5"/>
    <w:rsid w:val="00BD293D"/>
    <w:rsid w:val="00BD4177"/>
    <w:rsid w:val="00BD470B"/>
    <w:rsid w:val="00BD6F02"/>
    <w:rsid w:val="00BD75D7"/>
    <w:rsid w:val="00BE0956"/>
    <w:rsid w:val="00BE1F51"/>
    <w:rsid w:val="00BE791A"/>
    <w:rsid w:val="00BF4153"/>
    <w:rsid w:val="00C00E7D"/>
    <w:rsid w:val="00C01A4A"/>
    <w:rsid w:val="00C04081"/>
    <w:rsid w:val="00C1389A"/>
    <w:rsid w:val="00C17038"/>
    <w:rsid w:val="00C17720"/>
    <w:rsid w:val="00C247C6"/>
    <w:rsid w:val="00C263E3"/>
    <w:rsid w:val="00C26840"/>
    <w:rsid w:val="00C364F8"/>
    <w:rsid w:val="00C44637"/>
    <w:rsid w:val="00C4758C"/>
    <w:rsid w:val="00C52983"/>
    <w:rsid w:val="00C551EF"/>
    <w:rsid w:val="00C60EB8"/>
    <w:rsid w:val="00C620F9"/>
    <w:rsid w:val="00C62E6F"/>
    <w:rsid w:val="00C6338D"/>
    <w:rsid w:val="00C6444E"/>
    <w:rsid w:val="00C824E9"/>
    <w:rsid w:val="00C849FA"/>
    <w:rsid w:val="00C90C3C"/>
    <w:rsid w:val="00C913B2"/>
    <w:rsid w:val="00C9161F"/>
    <w:rsid w:val="00C932E5"/>
    <w:rsid w:val="00C934D5"/>
    <w:rsid w:val="00C9363A"/>
    <w:rsid w:val="00CA22FB"/>
    <w:rsid w:val="00CA69EA"/>
    <w:rsid w:val="00CB00A9"/>
    <w:rsid w:val="00CB6996"/>
    <w:rsid w:val="00CB7C22"/>
    <w:rsid w:val="00CC1038"/>
    <w:rsid w:val="00CC10B2"/>
    <w:rsid w:val="00CC1614"/>
    <w:rsid w:val="00CC3020"/>
    <w:rsid w:val="00CC356F"/>
    <w:rsid w:val="00CC42F4"/>
    <w:rsid w:val="00CC7094"/>
    <w:rsid w:val="00CC7CDF"/>
    <w:rsid w:val="00CD08CD"/>
    <w:rsid w:val="00CD6C07"/>
    <w:rsid w:val="00CE0A56"/>
    <w:rsid w:val="00CE0CB7"/>
    <w:rsid w:val="00CE5E2C"/>
    <w:rsid w:val="00CE6FFA"/>
    <w:rsid w:val="00CF2843"/>
    <w:rsid w:val="00CF327F"/>
    <w:rsid w:val="00CF6344"/>
    <w:rsid w:val="00CF6912"/>
    <w:rsid w:val="00D00D10"/>
    <w:rsid w:val="00D03432"/>
    <w:rsid w:val="00D04E9D"/>
    <w:rsid w:val="00D07570"/>
    <w:rsid w:val="00D114A5"/>
    <w:rsid w:val="00D13207"/>
    <w:rsid w:val="00D15001"/>
    <w:rsid w:val="00D15173"/>
    <w:rsid w:val="00D21D69"/>
    <w:rsid w:val="00D23F51"/>
    <w:rsid w:val="00D258B2"/>
    <w:rsid w:val="00D27047"/>
    <w:rsid w:val="00D3056C"/>
    <w:rsid w:val="00D34755"/>
    <w:rsid w:val="00D35EF5"/>
    <w:rsid w:val="00D36677"/>
    <w:rsid w:val="00D36BCE"/>
    <w:rsid w:val="00D47A38"/>
    <w:rsid w:val="00D50BCB"/>
    <w:rsid w:val="00D51A2A"/>
    <w:rsid w:val="00D52717"/>
    <w:rsid w:val="00D57A75"/>
    <w:rsid w:val="00D63BF8"/>
    <w:rsid w:val="00D64D15"/>
    <w:rsid w:val="00D653DB"/>
    <w:rsid w:val="00D653EF"/>
    <w:rsid w:val="00D70278"/>
    <w:rsid w:val="00D72649"/>
    <w:rsid w:val="00D7778B"/>
    <w:rsid w:val="00D77D29"/>
    <w:rsid w:val="00D82C3E"/>
    <w:rsid w:val="00D82C8D"/>
    <w:rsid w:val="00D84924"/>
    <w:rsid w:val="00D84FC0"/>
    <w:rsid w:val="00D85B8B"/>
    <w:rsid w:val="00D87AD5"/>
    <w:rsid w:val="00D9023A"/>
    <w:rsid w:val="00D92ABD"/>
    <w:rsid w:val="00D94BC0"/>
    <w:rsid w:val="00D9588F"/>
    <w:rsid w:val="00D9648A"/>
    <w:rsid w:val="00DA6F12"/>
    <w:rsid w:val="00DB017D"/>
    <w:rsid w:val="00DB34FF"/>
    <w:rsid w:val="00DB4433"/>
    <w:rsid w:val="00DC0112"/>
    <w:rsid w:val="00DC1199"/>
    <w:rsid w:val="00DC19AC"/>
    <w:rsid w:val="00DC4D18"/>
    <w:rsid w:val="00DC6F8E"/>
    <w:rsid w:val="00DD2695"/>
    <w:rsid w:val="00DD304C"/>
    <w:rsid w:val="00DE70FE"/>
    <w:rsid w:val="00DF0679"/>
    <w:rsid w:val="00DF58E7"/>
    <w:rsid w:val="00DF693F"/>
    <w:rsid w:val="00DF6D0C"/>
    <w:rsid w:val="00E020BA"/>
    <w:rsid w:val="00E059FD"/>
    <w:rsid w:val="00E05CA9"/>
    <w:rsid w:val="00E07DE0"/>
    <w:rsid w:val="00E11ADE"/>
    <w:rsid w:val="00E12C21"/>
    <w:rsid w:val="00E133FA"/>
    <w:rsid w:val="00E13DA5"/>
    <w:rsid w:val="00E14008"/>
    <w:rsid w:val="00E20D43"/>
    <w:rsid w:val="00E231C2"/>
    <w:rsid w:val="00E231DA"/>
    <w:rsid w:val="00E2326C"/>
    <w:rsid w:val="00E25827"/>
    <w:rsid w:val="00E2670E"/>
    <w:rsid w:val="00E26A07"/>
    <w:rsid w:val="00E33C36"/>
    <w:rsid w:val="00E34EBB"/>
    <w:rsid w:val="00E37595"/>
    <w:rsid w:val="00E4112A"/>
    <w:rsid w:val="00E417FD"/>
    <w:rsid w:val="00E41BCF"/>
    <w:rsid w:val="00E45848"/>
    <w:rsid w:val="00E50163"/>
    <w:rsid w:val="00E519F8"/>
    <w:rsid w:val="00E56DD9"/>
    <w:rsid w:val="00E57CE2"/>
    <w:rsid w:val="00E6058A"/>
    <w:rsid w:val="00E626F7"/>
    <w:rsid w:val="00E6340A"/>
    <w:rsid w:val="00E63F88"/>
    <w:rsid w:val="00E66292"/>
    <w:rsid w:val="00E77837"/>
    <w:rsid w:val="00E80454"/>
    <w:rsid w:val="00E805E4"/>
    <w:rsid w:val="00E90EE1"/>
    <w:rsid w:val="00E910E3"/>
    <w:rsid w:val="00E929EC"/>
    <w:rsid w:val="00E93A79"/>
    <w:rsid w:val="00E942B0"/>
    <w:rsid w:val="00E944C3"/>
    <w:rsid w:val="00EA2641"/>
    <w:rsid w:val="00EA2F8A"/>
    <w:rsid w:val="00EA3416"/>
    <w:rsid w:val="00EB1178"/>
    <w:rsid w:val="00EB2629"/>
    <w:rsid w:val="00EB3723"/>
    <w:rsid w:val="00EC1BCF"/>
    <w:rsid w:val="00EC4C96"/>
    <w:rsid w:val="00EC66CF"/>
    <w:rsid w:val="00EC674D"/>
    <w:rsid w:val="00EC69EE"/>
    <w:rsid w:val="00EC7255"/>
    <w:rsid w:val="00ED01B0"/>
    <w:rsid w:val="00ED0372"/>
    <w:rsid w:val="00ED2683"/>
    <w:rsid w:val="00ED5327"/>
    <w:rsid w:val="00ED6B5D"/>
    <w:rsid w:val="00EE273A"/>
    <w:rsid w:val="00EE33C1"/>
    <w:rsid w:val="00EE3D91"/>
    <w:rsid w:val="00EE5904"/>
    <w:rsid w:val="00EF2765"/>
    <w:rsid w:val="00EF3457"/>
    <w:rsid w:val="00EF6C00"/>
    <w:rsid w:val="00EF6E7B"/>
    <w:rsid w:val="00EF7A8C"/>
    <w:rsid w:val="00F001C0"/>
    <w:rsid w:val="00F0160B"/>
    <w:rsid w:val="00F0472C"/>
    <w:rsid w:val="00F07073"/>
    <w:rsid w:val="00F10541"/>
    <w:rsid w:val="00F12997"/>
    <w:rsid w:val="00F132B3"/>
    <w:rsid w:val="00F13578"/>
    <w:rsid w:val="00F16981"/>
    <w:rsid w:val="00F17BF3"/>
    <w:rsid w:val="00F213A1"/>
    <w:rsid w:val="00F230A3"/>
    <w:rsid w:val="00F243D4"/>
    <w:rsid w:val="00F30689"/>
    <w:rsid w:val="00F33BA8"/>
    <w:rsid w:val="00F378B2"/>
    <w:rsid w:val="00F40A84"/>
    <w:rsid w:val="00F423F0"/>
    <w:rsid w:val="00F440D9"/>
    <w:rsid w:val="00F44F40"/>
    <w:rsid w:val="00F46652"/>
    <w:rsid w:val="00F50840"/>
    <w:rsid w:val="00F50844"/>
    <w:rsid w:val="00F509F9"/>
    <w:rsid w:val="00F56B3A"/>
    <w:rsid w:val="00F6146E"/>
    <w:rsid w:val="00F615FC"/>
    <w:rsid w:val="00F61A5A"/>
    <w:rsid w:val="00F61A75"/>
    <w:rsid w:val="00F62A65"/>
    <w:rsid w:val="00F63385"/>
    <w:rsid w:val="00F63CA4"/>
    <w:rsid w:val="00F66216"/>
    <w:rsid w:val="00F67F23"/>
    <w:rsid w:val="00F7014C"/>
    <w:rsid w:val="00F74207"/>
    <w:rsid w:val="00F745B4"/>
    <w:rsid w:val="00F7564A"/>
    <w:rsid w:val="00F759A1"/>
    <w:rsid w:val="00F852EE"/>
    <w:rsid w:val="00F8571A"/>
    <w:rsid w:val="00F86033"/>
    <w:rsid w:val="00F93A2D"/>
    <w:rsid w:val="00F94DD6"/>
    <w:rsid w:val="00F96AD2"/>
    <w:rsid w:val="00FA06D0"/>
    <w:rsid w:val="00FA33CC"/>
    <w:rsid w:val="00FA5AB8"/>
    <w:rsid w:val="00FB0A2C"/>
    <w:rsid w:val="00FB1555"/>
    <w:rsid w:val="00FB31F4"/>
    <w:rsid w:val="00FB6105"/>
    <w:rsid w:val="00FC1669"/>
    <w:rsid w:val="00FC35B5"/>
    <w:rsid w:val="00FC4F47"/>
    <w:rsid w:val="00FC761C"/>
    <w:rsid w:val="00FD175F"/>
    <w:rsid w:val="00FD4402"/>
    <w:rsid w:val="00FD4692"/>
    <w:rsid w:val="00FD530B"/>
    <w:rsid w:val="00FD5A0A"/>
    <w:rsid w:val="00FE028E"/>
    <w:rsid w:val="00FE0453"/>
    <w:rsid w:val="00FE26FF"/>
    <w:rsid w:val="00FE3735"/>
    <w:rsid w:val="00FE4DC8"/>
    <w:rsid w:val="00FE6156"/>
    <w:rsid w:val="00FE7F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C949B"/>
  <w15:docId w15:val="{8EC76739-167C-45D7-AD31-906F3BFB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970581"/>
    <w:pPr>
      <w:ind w:left="720"/>
      <w:contextualSpacing/>
    </w:pPr>
  </w:style>
  <w:style w:type="character" w:styleId="Hyperlink">
    <w:name w:val="Hyperlink"/>
    <w:basedOn w:val="DefaultParagraphFont"/>
    <w:uiPriority w:val="99"/>
    <w:unhideWhenUsed/>
    <w:rsid w:val="008F4448"/>
    <w:rPr>
      <w:color w:val="0000FF" w:themeColor="hyperlink"/>
      <w:u w:val="single"/>
    </w:rPr>
  </w:style>
  <w:style w:type="character" w:styleId="UnresolvedMention">
    <w:name w:val="Unresolved Mention"/>
    <w:basedOn w:val="DefaultParagraphFont"/>
    <w:uiPriority w:val="99"/>
    <w:rsid w:val="008F4448"/>
    <w:rPr>
      <w:color w:val="605E5C"/>
      <w:shd w:val="clear" w:color="auto" w:fill="E1DFDD"/>
    </w:rPr>
  </w:style>
  <w:style w:type="paragraph" w:styleId="NormalWeb">
    <w:name w:val="Normal (Web)"/>
    <w:basedOn w:val="Normal"/>
    <w:uiPriority w:val="99"/>
    <w:unhideWhenUsed/>
    <w:rsid w:val="001B6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uiPriority w:val="99"/>
    <w:rsid w:val="00454638"/>
    <w:pPr>
      <w:autoSpaceDE w:val="0"/>
      <w:autoSpaceDN w:val="0"/>
      <w:spacing w:after="0" w:line="240" w:lineRule="auto"/>
    </w:pPr>
    <w:rPr>
      <w:rFonts w:ascii="Arial" w:hAnsi="Arial" w:cs="Arial"/>
      <w:color w:val="000000"/>
      <w:sz w:val="24"/>
      <w:szCs w:val="24"/>
      <w:lang w:eastAsia="en-GB"/>
    </w:rPr>
  </w:style>
  <w:style w:type="character" w:customStyle="1" w:styleId="Heading1Char">
    <w:name w:val="Heading 1 Char"/>
    <w:basedOn w:val="DefaultParagraphFont"/>
    <w:link w:val="Heading1"/>
    <w:uiPriority w:val="9"/>
    <w:rsid w:val="00A3021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C66CF"/>
    <w:rPr>
      <w:sz w:val="16"/>
      <w:szCs w:val="16"/>
    </w:rPr>
  </w:style>
  <w:style w:type="paragraph" w:styleId="CommentText">
    <w:name w:val="annotation text"/>
    <w:basedOn w:val="Normal"/>
    <w:link w:val="CommentTextChar"/>
    <w:uiPriority w:val="99"/>
    <w:unhideWhenUsed/>
    <w:rsid w:val="00EC66CF"/>
    <w:pPr>
      <w:spacing w:line="240" w:lineRule="auto"/>
    </w:pPr>
    <w:rPr>
      <w:sz w:val="20"/>
      <w:szCs w:val="20"/>
    </w:rPr>
  </w:style>
  <w:style w:type="character" w:customStyle="1" w:styleId="CommentTextChar">
    <w:name w:val="Comment Text Char"/>
    <w:basedOn w:val="DefaultParagraphFont"/>
    <w:link w:val="CommentText"/>
    <w:uiPriority w:val="99"/>
    <w:rsid w:val="00EC66CF"/>
    <w:rPr>
      <w:sz w:val="20"/>
      <w:szCs w:val="20"/>
    </w:rPr>
  </w:style>
  <w:style w:type="paragraph" w:styleId="CommentSubject">
    <w:name w:val="annotation subject"/>
    <w:basedOn w:val="CommentText"/>
    <w:next w:val="CommentText"/>
    <w:link w:val="CommentSubjectChar"/>
    <w:uiPriority w:val="99"/>
    <w:semiHidden/>
    <w:unhideWhenUsed/>
    <w:rsid w:val="00EC66CF"/>
    <w:rPr>
      <w:b/>
      <w:bCs/>
    </w:rPr>
  </w:style>
  <w:style w:type="character" w:customStyle="1" w:styleId="CommentSubjectChar">
    <w:name w:val="Comment Subject Char"/>
    <w:basedOn w:val="CommentTextChar"/>
    <w:link w:val="CommentSubject"/>
    <w:uiPriority w:val="99"/>
    <w:semiHidden/>
    <w:rsid w:val="00EC66CF"/>
    <w:rPr>
      <w:b/>
      <w:bCs/>
      <w:sz w:val="20"/>
      <w:szCs w:val="20"/>
    </w:rPr>
  </w:style>
  <w:style w:type="paragraph" w:styleId="Revision">
    <w:name w:val="Revision"/>
    <w:hidden/>
    <w:uiPriority w:val="99"/>
    <w:semiHidden/>
    <w:rsid w:val="00B82A87"/>
    <w:pPr>
      <w:spacing w:after="0" w:line="240" w:lineRule="auto"/>
    </w:pPr>
  </w:style>
  <w:style w:type="paragraph" w:styleId="FootnoteText">
    <w:name w:val="footnote text"/>
    <w:basedOn w:val="Normal"/>
    <w:link w:val="FootnoteTextChar"/>
    <w:uiPriority w:val="99"/>
    <w:semiHidden/>
    <w:unhideWhenUsed/>
    <w:rsid w:val="00DE7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0FE"/>
    <w:rPr>
      <w:sz w:val="20"/>
      <w:szCs w:val="20"/>
    </w:rPr>
  </w:style>
  <w:style w:type="character" w:styleId="FootnoteReference">
    <w:name w:val="footnote reference"/>
    <w:basedOn w:val="DefaultParagraphFont"/>
    <w:uiPriority w:val="99"/>
    <w:semiHidden/>
    <w:unhideWhenUsed/>
    <w:rsid w:val="00DE70FE"/>
    <w:rPr>
      <w:vertAlign w:val="superscript"/>
    </w:rPr>
  </w:style>
  <w:style w:type="table" w:styleId="PlainTable2">
    <w:name w:val="Plain Table 2"/>
    <w:basedOn w:val="TableNormal"/>
    <w:uiPriority w:val="42"/>
    <w:rsid w:val="00C01A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D7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957">
      <w:bodyDiv w:val="1"/>
      <w:marLeft w:val="0"/>
      <w:marRight w:val="0"/>
      <w:marTop w:val="0"/>
      <w:marBottom w:val="0"/>
      <w:divBdr>
        <w:top w:val="none" w:sz="0" w:space="0" w:color="auto"/>
        <w:left w:val="none" w:sz="0" w:space="0" w:color="auto"/>
        <w:bottom w:val="none" w:sz="0" w:space="0" w:color="auto"/>
        <w:right w:val="none" w:sz="0" w:space="0" w:color="auto"/>
      </w:divBdr>
    </w:div>
    <w:div w:id="54669816">
      <w:bodyDiv w:val="1"/>
      <w:marLeft w:val="0"/>
      <w:marRight w:val="0"/>
      <w:marTop w:val="0"/>
      <w:marBottom w:val="0"/>
      <w:divBdr>
        <w:top w:val="none" w:sz="0" w:space="0" w:color="auto"/>
        <w:left w:val="none" w:sz="0" w:space="0" w:color="auto"/>
        <w:bottom w:val="none" w:sz="0" w:space="0" w:color="auto"/>
        <w:right w:val="none" w:sz="0" w:space="0" w:color="auto"/>
      </w:divBdr>
    </w:div>
    <w:div w:id="82528678">
      <w:bodyDiv w:val="1"/>
      <w:marLeft w:val="0"/>
      <w:marRight w:val="0"/>
      <w:marTop w:val="0"/>
      <w:marBottom w:val="0"/>
      <w:divBdr>
        <w:top w:val="none" w:sz="0" w:space="0" w:color="auto"/>
        <w:left w:val="none" w:sz="0" w:space="0" w:color="auto"/>
        <w:bottom w:val="none" w:sz="0" w:space="0" w:color="auto"/>
        <w:right w:val="none" w:sz="0" w:space="0" w:color="auto"/>
      </w:divBdr>
    </w:div>
    <w:div w:id="87360188">
      <w:bodyDiv w:val="1"/>
      <w:marLeft w:val="0"/>
      <w:marRight w:val="0"/>
      <w:marTop w:val="0"/>
      <w:marBottom w:val="0"/>
      <w:divBdr>
        <w:top w:val="none" w:sz="0" w:space="0" w:color="auto"/>
        <w:left w:val="none" w:sz="0" w:space="0" w:color="auto"/>
        <w:bottom w:val="none" w:sz="0" w:space="0" w:color="auto"/>
        <w:right w:val="none" w:sz="0" w:space="0" w:color="auto"/>
      </w:divBdr>
    </w:div>
    <w:div w:id="88353215">
      <w:bodyDiv w:val="1"/>
      <w:marLeft w:val="0"/>
      <w:marRight w:val="0"/>
      <w:marTop w:val="0"/>
      <w:marBottom w:val="0"/>
      <w:divBdr>
        <w:top w:val="none" w:sz="0" w:space="0" w:color="auto"/>
        <w:left w:val="none" w:sz="0" w:space="0" w:color="auto"/>
        <w:bottom w:val="none" w:sz="0" w:space="0" w:color="auto"/>
        <w:right w:val="none" w:sz="0" w:space="0" w:color="auto"/>
      </w:divBdr>
    </w:div>
    <w:div w:id="142963778">
      <w:bodyDiv w:val="1"/>
      <w:marLeft w:val="0"/>
      <w:marRight w:val="0"/>
      <w:marTop w:val="0"/>
      <w:marBottom w:val="0"/>
      <w:divBdr>
        <w:top w:val="none" w:sz="0" w:space="0" w:color="auto"/>
        <w:left w:val="none" w:sz="0" w:space="0" w:color="auto"/>
        <w:bottom w:val="none" w:sz="0" w:space="0" w:color="auto"/>
        <w:right w:val="none" w:sz="0" w:space="0" w:color="auto"/>
      </w:divBdr>
    </w:div>
    <w:div w:id="145319749">
      <w:bodyDiv w:val="1"/>
      <w:marLeft w:val="0"/>
      <w:marRight w:val="0"/>
      <w:marTop w:val="0"/>
      <w:marBottom w:val="0"/>
      <w:divBdr>
        <w:top w:val="none" w:sz="0" w:space="0" w:color="auto"/>
        <w:left w:val="none" w:sz="0" w:space="0" w:color="auto"/>
        <w:bottom w:val="none" w:sz="0" w:space="0" w:color="auto"/>
        <w:right w:val="none" w:sz="0" w:space="0" w:color="auto"/>
      </w:divBdr>
    </w:div>
    <w:div w:id="159780463">
      <w:bodyDiv w:val="1"/>
      <w:marLeft w:val="0"/>
      <w:marRight w:val="0"/>
      <w:marTop w:val="0"/>
      <w:marBottom w:val="0"/>
      <w:divBdr>
        <w:top w:val="none" w:sz="0" w:space="0" w:color="auto"/>
        <w:left w:val="none" w:sz="0" w:space="0" w:color="auto"/>
        <w:bottom w:val="none" w:sz="0" w:space="0" w:color="auto"/>
        <w:right w:val="none" w:sz="0" w:space="0" w:color="auto"/>
      </w:divBdr>
    </w:div>
    <w:div w:id="168758070">
      <w:bodyDiv w:val="1"/>
      <w:marLeft w:val="0"/>
      <w:marRight w:val="0"/>
      <w:marTop w:val="0"/>
      <w:marBottom w:val="0"/>
      <w:divBdr>
        <w:top w:val="none" w:sz="0" w:space="0" w:color="auto"/>
        <w:left w:val="none" w:sz="0" w:space="0" w:color="auto"/>
        <w:bottom w:val="none" w:sz="0" w:space="0" w:color="auto"/>
        <w:right w:val="none" w:sz="0" w:space="0" w:color="auto"/>
      </w:divBdr>
    </w:div>
    <w:div w:id="174154468">
      <w:bodyDiv w:val="1"/>
      <w:marLeft w:val="0"/>
      <w:marRight w:val="0"/>
      <w:marTop w:val="0"/>
      <w:marBottom w:val="0"/>
      <w:divBdr>
        <w:top w:val="none" w:sz="0" w:space="0" w:color="auto"/>
        <w:left w:val="none" w:sz="0" w:space="0" w:color="auto"/>
        <w:bottom w:val="none" w:sz="0" w:space="0" w:color="auto"/>
        <w:right w:val="none" w:sz="0" w:space="0" w:color="auto"/>
      </w:divBdr>
    </w:div>
    <w:div w:id="204804481">
      <w:bodyDiv w:val="1"/>
      <w:marLeft w:val="0"/>
      <w:marRight w:val="0"/>
      <w:marTop w:val="0"/>
      <w:marBottom w:val="0"/>
      <w:divBdr>
        <w:top w:val="none" w:sz="0" w:space="0" w:color="auto"/>
        <w:left w:val="none" w:sz="0" w:space="0" w:color="auto"/>
        <w:bottom w:val="none" w:sz="0" w:space="0" w:color="auto"/>
        <w:right w:val="none" w:sz="0" w:space="0" w:color="auto"/>
      </w:divBdr>
    </w:div>
    <w:div w:id="221674365">
      <w:bodyDiv w:val="1"/>
      <w:marLeft w:val="0"/>
      <w:marRight w:val="0"/>
      <w:marTop w:val="0"/>
      <w:marBottom w:val="0"/>
      <w:divBdr>
        <w:top w:val="none" w:sz="0" w:space="0" w:color="auto"/>
        <w:left w:val="none" w:sz="0" w:space="0" w:color="auto"/>
        <w:bottom w:val="none" w:sz="0" w:space="0" w:color="auto"/>
        <w:right w:val="none" w:sz="0" w:space="0" w:color="auto"/>
      </w:divBdr>
    </w:div>
    <w:div w:id="257107670">
      <w:bodyDiv w:val="1"/>
      <w:marLeft w:val="0"/>
      <w:marRight w:val="0"/>
      <w:marTop w:val="0"/>
      <w:marBottom w:val="0"/>
      <w:divBdr>
        <w:top w:val="none" w:sz="0" w:space="0" w:color="auto"/>
        <w:left w:val="none" w:sz="0" w:space="0" w:color="auto"/>
        <w:bottom w:val="none" w:sz="0" w:space="0" w:color="auto"/>
        <w:right w:val="none" w:sz="0" w:space="0" w:color="auto"/>
      </w:divBdr>
    </w:div>
    <w:div w:id="270210985">
      <w:bodyDiv w:val="1"/>
      <w:marLeft w:val="0"/>
      <w:marRight w:val="0"/>
      <w:marTop w:val="0"/>
      <w:marBottom w:val="0"/>
      <w:divBdr>
        <w:top w:val="none" w:sz="0" w:space="0" w:color="auto"/>
        <w:left w:val="none" w:sz="0" w:space="0" w:color="auto"/>
        <w:bottom w:val="none" w:sz="0" w:space="0" w:color="auto"/>
        <w:right w:val="none" w:sz="0" w:space="0" w:color="auto"/>
      </w:divBdr>
    </w:div>
    <w:div w:id="273564650">
      <w:bodyDiv w:val="1"/>
      <w:marLeft w:val="0"/>
      <w:marRight w:val="0"/>
      <w:marTop w:val="0"/>
      <w:marBottom w:val="0"/>
      <w:divBdr>
        <w:top w:val="none" w:sz="0" w:space="0" w:color="auto"/>
        <w:left w:val="none" w:sz="0" w:space="0" w:color="auto"/>
        <w:bottom w:val="none" w:sz="0" w:space="0" w:color="auto"/>
        <w:right w:val="none" w:sz="0" w:space="0" w:color="auto"/>
      </w:divBdr>
    </w:div>
    <w:div w:id="338429390">
      <w:bodyDiv w:val="1"/>
      <w:marLeft w:val="0"/>
      <w:marRight w:val="0"/>
      <w:marTop w:val="0"/>
      <w:marBottom w:val="0"/>
      <w:divBdr>
        <w:top w:val="none" w:sz="0" w:space="0" w:color="auto"/>
        <w:left w:val="none" w:sz="0" w:space="0" w:color="auto"/>
        <w:bottom w:val="none" w:sz="0" w:space="0" w:color="auto"/>
        <w:right w:val="none" w:sz="0" w:space="0" w:color="auto"/>
      </w:divBdr>
    </w:div>
    <w:div w:id="351732425">
      <w:bodyDiv w:val="1"/>
      <w:marLeft w:val="0"/>
      <w:marRight w:val="0"/>
      <w:marTop w:val="0"/>
      <w:marBottom w:val="0"/>
      <w:divBdr>
        <w:top w:val="none" w:sz="0" w:space="0" w:color="auto"/>
        <w:left w:val="none" w:sz="0" w:space="0" w:color="auto"/>
        <w:bottom w:val="none" w:sz="0" w:space="0" w:color="auto"/>
        <w:right w:val="none" w:sz="0" w:space="0" w:color="auto"/>
      </w:divBdr>
    </w:div>
    <w:div w:id="379790427">
      <w:bodyDiv w:val="1"/>
      <w:marLeft w:val="0"/>
      <w:marRight w:val="0"/>
      <w:marTop w:val="0"/>
      <w:marBottom w:val="0"/>
      <w:divBdr>
        <w:top w:val="none" w:sz="0" w:space="0" w:color="auto"/>
        <w:left w:val="none" w:sz="0" w:space="0" w:color="auto"/>
        <w:bottom w:val="none" w:sz="0" w:space="0" w:color="auto"/>
        <w:right w:val="none" w:sz="0" w:space="0" w:color="auto"/>
      </w:divBdr>
    </w:div>
    <w:div w:id="407846403">
      <w:bodyDiv w:val="1"/>
      <w:marLeft w:val="0"/>
      <w:marRight w:val="0"/>
      <w:marTop w:val="0"/>
      <w:marBottom w:val="0"/>
      <w:divBdr>
        <w:top w:val="none" w:sz="0" w:space="0" w:color="auto"/>
        <w:left w:val="none" w:sz="0" w:space="0" w:color="auto"/>
        <w:bottom w:val="none" w:sz="0" w:space="0" w:color="auto"/>
        <w:right w:val="none" w:sz="0" w:space="0" w:color="auto"/>
      </w:divBdr>
    </w:div>
    <w:div w:id="421923754">
      <w:bodyDiv w:val="1"/>
      <w:marLeft w:val="0"/>
      <w:marRight w:val="0"/>
      <w:marTop w:val="0"/>
      <w:marBottom w:val="0"/>
      <w:divBdr>
        <w:top w:val="none" w:sz="0" w:space="0" w:color="auto"/>
        <w:left w:val="none" w:sz="0" w:space="0" w:color="auto"/>
        <w:bottom w:val="none" w:sz="0" w:space="0" w:color="auto"/>
        <w:right w:val="none" w:sz="0" w:space="0" w:color="auto"/>
      </w:divBdr>
    </w:div>
    <w:div w:id="444882860">
      <w:bodyDiv w:val="1"/>
      <w:marLeft w:val="0"/>
      <w:marRight w:val="0"/>
      <w:marTop w:val="0"/>
      <w:marBottom w:val="0"/>
      <w:divBdr>
        <w:top w:val="none" w:sz="0" w:space="0" w:color="auto"/>
        <w:left w:val="none" w:sz="0" w:space="0" w:color="auto"/>
        <w:bottom w:val="none" w:sz="0" w:space="0" w:color="auto"/>
        <w:right w:val="none" w:sz="0" w:space="0" w:color="auto"/>
      </w:divBdr>
    </w:div>
    <w:div w:id="454368874">
      <w:bodyDiv w:val="1"/>
      <w:marLeft w:val="0"/>
      <w:marRight w:val="0"/>
      <w:marTop w:val="0"/>
      <w:marBottom w:val="0"/>
      <w:divBdr>
        <w:top w:val="none" w:sz="0" w:space="0" w:color="auto"/>
        <w:left w:val="none" w:sz="0" w:space="0" w:color="auto"/>
        <w:bottom w:val="none" w:sz="0" w:space="0" w:color="auto"/>
        <w:right w:val="none" w:sz="0" w:space="0" w:color="auto"/>
      </w:divBdr>
    </w:div>
    <w:div w:id="507908596">
      <w:bodyDiv w:val="1"/>
      <w:marLeft w:val="0"/>
      <w:marRight w:val="0"/>
      <w:marTop w:val="0"/>
      <w:marBottom w:val="0"/>
      <w:divBdr>
        <w:top w:val="none" w:sz="0" w:space="0" w:color="auto"/>
        <w:left w:val="none" w:sz="0" w:space="0" w:color="auto"/>
        <w:bottom w:val="none" w:sz="0" w:space="0" w:color="auto"/>
        <w:right w:val="none" w:sz="0" w:space="0" w:color="auto"/>
      </w:divBdr>
    </w:div>
    <w:div w:id="550189019">
      <w:bodyDiv w:val="1"/>
      <w:marLeft w:val="0"/>
      <w:marRight w:val="0"/>
      <w:marTop w:val="0"/>
      <w:marBottom w:val="0"/>
      <w:divBdr>
        <w:top w:val="none" w:sz="0" w:space="0" w:color="auto"/>
        <w:left w:val="none" w:sz="0" w:space="0" w:color="auto"/>
        <w:bottom w:val="none" w:sz="0" w:space="0" w:color="auto"/>
        <w:right w:val="none" w:sz="0" w:space="0" w:color="auto"/>
      </w:divBdr>
    </w:div>
    <w:div w:id="578833017">
      <w:bodyDiv w:val="1"/>
      <w:marLeft w:val="0"/>
      <w:marRight w:val="0"/>
      <w:marTop w:val="0"/>
      <w:marBottom w:val="0"/>
      <w:divBdr>
        <w:top w:val="none" w:sz="0" w:space="0" w:color="auto"/>
        <w:left w:val="none" w:sz="0" w:space="0" w:color="auto"/>
        <w:bottom w:val="none" w:sz="0" w:space="0" w:color="auto"/>
        <w:right w:val="none" w:sz="0" w:space="0" w:color="auto"/>
      </w:divBdr>
    </w:div>
    <w:div w:id="584456472">
      <w:bodyDiv w:val="1"/>
      <w:marLeft w:val="0"/>
      <w:marRight w:val="0"/>
      <w:marTop w:val="0"/>
      <w:marBottom w:val="0"/>
      <w:divBdr>
        <w:top w:val="none" w:sz="0" w:space="0" w:color="auto"/>
        <w:left w:val="none" w:sz="0" w:space="0" w:color="auto"/>
        <w:bottom w:val="none" w:sz="0" w:space="0" w:color="auto"/>
        <w:right w:val="none" w:sz="0" w:space="0" w:color="auto"/>
      </w:divBdr>
    </w:div>
    <w:div w:id="592208200">
      <w:bodyDiv w:val="1"/>
      <w:marLeft w:val="0"/>
      <w:marRight w:val="0"/>
      <w:marTop w:val="0"/>
      <w:marBottom w:val="0"/>
      <w:divBdr>
        <w:top w:val="none" w:sz="0" w:space="0" w:color="auto"/>
        <w:left w:val="none" w:sz="0" w:space="0" w:color="auto"/>
        <w:bottom w:val="none" w:sz="0" w:space="0" w:color="auto"/>
        <w:right w:val="none" w:sz="0" w:space="0" w:color="auto"/>
      </w:divBdr>
    </w:div>
    <w:div w:id="642391261">
      <w:bodyDiv w:val="1"/>
      <w:marLeft w:val="0"/>
      <w:marRight w:val="0"/>
      <w:marTop w:val="0"/>
      <w:marBottom w:val="0"/>
      <w:divBdr>
        <w:top w:val="none" w:sz="0" w:space="0" w:color="auto"/>
        <w:left w:val="none" w:sz="0" w:space="0" w:color="auto"/>
        <w:bottom w:val="none" w:sz="0" w:space="0" w:color="auto"/>
        <w:right w:val="none" w:sz="0" w:space="0" w:color="auto"/>
      </w:divBdr>
    </w:div>
    <w:div w:id="651297380">
      <w:bodyDiv w:val="1"/>
      <w:marLeft w:val="0"/>
      <w:marRight w:val="0"/>
      <w:marTop w:val="0"/>
      <w:marBottom w:val="0"/>
      <w:divBdr>
        <w:top w:val="none" w:sz="0" w:space="0" w:color="auto"/>
        <w:left w:val="none" w:sz="0" w:space="0" w:color="auto"/>
        <w:bottom w:val="none" w:sz="0" w:space="0" w:color="auto"/>
        <w:right w:val="none" w:sz="0" w:space="0" w:color="auto"/>
      </w:divBdr>
    </w:div>
    <w:div w:id="674190405">
      <w:bodyDiv w:val="1"/>
      <w:marLeft w:val="0"/>
      <w:marRight w:val="0"/>
      <w:marTop w:val="0"/>
      <w:marBottom w:val="0"/>
      <w:divBdr>
        <w:top w:val="none" w:sz="0" w:space="0" w:color="auto"/>
        <w:left w:val="none" w:sz="0" w:space="0" w:color="auto"/>
        <w:bottom w:val="none" w:sz="0" w:space="0" w:color="auto"/>
        <w:right w:val="none" w:sz="0" w:space="0" w:color="auto"/>
      </w:divBdr>
    </w:div>
    <w:div w:id="743573533">
      <w:bodyDiv w:val="1"/>
      <w:marLeft w:val="0"/>
      <w:marRight w:val="0"/>
      <w:marTop w:val="0"/>
      <w:marBottom w:val="0"/>
      <w:divBdr>
        <w:top w:val="none" w:sz="0" w:space="0" w:color="auto"/>
        <w:left w:val="none" w:sz="0" w:space="0" w:color="auto"/>
        <w:bottom w:val="none" w:sz="0" w:space="0" w:color="auto"/>
        <w:right w:val="none" w:sz="0" w:space="0" w:color="auto"/>
      </w:divBdr>
    </w:div>
    <w:div w:id="744884840">
      <w:bodyDiv w:val="1"/>
      <w:marLeft w:val="0"/>
      <w:marRight w:val="0"/>
      <w:marTop w:val="0"/>
      <w:marBottom w:val="0"/>
      <w:divBdr>
        <w:top w:val="none" w:sz="0" w:space="0" w:color="auto"/>
        <w:left w:val="none" w:sz="0" w:space="0" w:color="auto"/>
        <w:bottom w:val="none" w:sz="0" w:space="0" w:color="auto"/>
        <w:right w:val="none" w:sz="0" w:space="0" w:color="auto"/>
      </w:divBdr>
    </w:div>
    <w:div w:id="771629882">
      <w:bodyDiv w:val="1"/>
      <w:marLeft w:val="0"/>
      <w:marRight w:val="0"/>
      <w:marTop w:val="0"/>
      <w:marBottom w:val="0"/>
      <w:divBdr>
        <w:top w:val="none" w:sz="0" w:space="0" w:color="auto"/>
        <w:left w:val="none" w:sz="0" w:space="0" w:color="auto"/>
        <w:bottom w:val="none" w:sz="0" w:space="0" w:color="auto"/>
        <w:right w:val="none" w:sz="0" w:space="0" w:color="auto"/>
      </w:divBdr>
    </w:div>
    <w:div w:id="866258740">
      <w:bodyDiv w:val="1"/>
      <w:marLeft w:val="0"/>
      <w:marRight w:val="0"/>
      <w:marTop w:val="0"/>
      <w:marBottom w:val="0"/>
      <w:divBdr>
        <w:top w:val="none" w:sz="0" w:space="0" w:color="auto"/>
        <w:left w:val="none" w:sz="0" w:space="0" w:color="auto"/>
        <w:bottom w:val="none" w:sz="0" w:space="0" w:color="auto"/>
        <w:right w:val="none" w:sz="0" w:space="0" w:color="auto"/>
      </w:divBdr>
    </w:div>
    <w:div w:id="866331815">
      <w:bodyDiv w:val="1"/>
      <w:marLeft w:val="0"/>
      <w:marRight w:val="0"/>
      <w:marTop w:val="0"/>
      <w:marBottom w:val="0"/>
      <w:divBdr>
        <w:top w:val="none" w:sz="0" w:space="0" w:color="auto"/>
        <w:left w:val="none" w:sz="0" w:space="0" w:color="auto"/>
        <w:bottom w:val="none" w:sz="0" w:space="0" w:color="auto"/>
        <w:right w:val="none" w:sz="0" w:space="0" w:color="auto"/>
      </w:divBdr>
    </w:div>
    <w:div w:id="868221303">
      <w:bodyDiv w:val="1"/>
      <w:marLeft w:val="0"/>
      <w:marRight w:val="0"/>
      <w:marTop w:val="0"/>
      <w:marBottom w:val="0"/>
      <w:divBdr>
        <w:top w:val="none" w:sz="0" w:space="0" w:color="auto"/>
        <w:left w:val="none" w:sz="0" w:space="0" w:color="auto"/>
        <w:bottom w:val="none" w:sz="0" w:space="0" w:color="auto"/>
        <w:right w:val="none" w:sz="0" w:space="0" w:color="auto"/>
      </w:divBdr>
    </w:div>
    <w:div w:id="879634617">
      <w:bodyDiv w:val="1"/>
      <w:marLeft w:val="0"/>
      <w:marRight w:val="0"/>
      <w:marTop w:val="0"/>
      <w:marBottom w:val="0"/>
      <w:divBdr>
        <w:top w:val="none" w:sz="0" w:space="0" w:color="auto"/>
        <w:left w:val="none" w:sz="0" w:space="0" w:color="auto"/>
        <w:bottom w:val="none" w:sz="0" w:space="0" w:color="auto"/>
        <w:right w:val="none" w:sz="0" w:space="0" w:color="auto"/>
      </w:divBdr>
    </w:div>
    <w:div w:id="961691234">
      <w:bodyDiv w:val="1"/>
      <w:marLeft w:val="0"/>
      <w:marRight w:val="0"/>
      <w:marTop w:val="0"/>
      <w:marBottom w:val="0"/>
      <w:divBdr>
        <w:top w:val="none" w:sz="0" w:space="0" w:color="auto"/>
        <w:left w:val="none" w:sz="0" w:space="0" w:color="auto"/>
        <w:bottom w:val="none" w:sz="0" w:space="0" w:color="auto"/>
        <w:right w:val="none" w:sz="0" w:space="0" w:color="auto"/>
      </w:divBdr>
    </w:div>
    <w:div w:id="966737095">
      <w:bodyDiv w:val="1"/>
      <w:marLeft w:val="0"/>
      <w:marRight w:val="0"/>
      <w:marTop w:val="0"/>
      <w:marBottom w:val="0"/>
      <w:divBdr>
        <w:top w:val="none" w:sz="0" w:space="0" w:color="auto"/>
        <w:left w:val="none" w:sz="0" w:space="0" w:color="auto"/>
        <w:bottom w:val="none" w:sz="0" w:space="0" w:color="auto"/>
        <w:right w:val="none" w:sz="0" w:space="0" w:color="auto"/>
      </w:divBdr>
    </w:div>
    <w:div w:id="988367138">
      <w:bodyDiv w:val="1"/>
      <w:marLeft w:val="0"/>
      <w:marRight w:val="0"/>
      <w:marTop w:val="0"/>
      <w:marBottom w:val="0"/>
      <w:divBdr>
        <w:top w:val="none" w:sz="0" w:space="0" w:color="auto"/>
        <w:left w:val="none" w:sz="0" w:space="0" w:color="auto"/>
        <w:bottom w:val="none" w:sz="0" w:space="0" w:color="auto"/>
        <w:right w:val="none" w:sz="0" w:space="0" w:color="auto"/>
      </w:divBdr>
    </w:div>
    <w:div w:id="1029259487">
      <w:bodyDiv w:val="1"/>
      <w:marLeft w:val="0"/>
      <w:marRight w:val="0"/>
      <w:marTop w:val="0"/>
      <w:marBottom w:val="0"/>
      <w:divBdr>
        <w:top w:val="none" w:sz="0" w:space="0" w:color="auto"/>
        <w:left w:val="none" w:sz="0" w:space="0" w:color="auto"/>
        <w:bottom w:val="none" w:sz="0" w:space="0" w:color="auto"/>
        <w:right w:val="none" w:sz="0" w:space="0" w:color="auto"/>
      </w:divBdr>
    </w:div>
    <w:div w:id="1051925473">
      <w:bodyDiv w:val="1"/>
      <w:marLeft w:val="0"/>
      <w:marRight w:val="0"/>
      <w:marTop w:val="0"/>
      <w:marBottom w:val="0"/>
      <w:divBdr>
        <w:top w:val="none" w:sz="0" w:space="0" w:color="auto"/>
        <w:left w:val="none" w:sz="0" w:space="0" w:color="auto"/>
        <w:bottom w:val="none" w:sz="0" w:space="0" w:color="auto"/>
        <w:right w:val="none" w:sz="0" w:space="0" w:color="auto"/>
      </w:divBdr>
    </w:div>
    <w:div w:id="1087073731">
      <w:bodyDiv w:val="1"/>
      <w:marLeft w:val="0"/>
      <w:marRight w:val="0"/>
      <w:marTop w:val="0"/>
      <w:marBottom w:val="0"/>
      <w:divBdr>
        <w:top w:val="none" w:sz="0" w:space="0" w:color="auto"/>
        <w:left w:val="none" w:sz="0" w:space="0" w:color="auto"/>
        <w:bottom w:val="none" w:sz="0" w:space="0" w:color="auto"/>
        <w:right w:val="none" w:sz="0" w:space="0" w:color="auto"/>
      </w:divBdr>
    </w:div>
    <w:div w:id="1089304546">
      <w:bodyDiv w:val="1"/>
      <w:marLeft w:val="0"/>
      <w:marRight w:val="0"/>
      <w:marTop w:val="0"/>
      <w:marBottom w:val="0"/>
      <w:divBdr>
        <w:top w:val="none" w:sz="0" w:space="0" w:color="auto"/>
        <w:left w:val="none" w:sz="0" w:space="0" w:color="auto"/>
        <w:bottom w:val="none" w:sz="0" w:space="0" w:color="auto"/>
        <w:right w:val="none" w:sz="0" w:space="0" w:color="auto"/>
      </w:divBdr>
    </w:div>
    <w:div w:id="1090858954">
      <w:bodyDiv w:val="1"/>
      <w:marLeft w:val="0"/>
      <w:marRight w:val="0"/>
      <w:marTop w:val="0"/>
      <w:marBottom w:val="0"/>
      <w:divBdr>
        <w:top w:val="none" w:sz="0" w:space="0" w:color="auto"/>
        <w:left w:val="none" w:sz="0" w:space="0" w:color="auto"/>
        <w:bottom w:val="none" w:sz="0" w:space="0" w:color="auto"/>
        <w:right w:val="none" w:sz="0" w:space="0" w:color="auto"/>
      </w:divBdr>
    </w:div>
    <w:div w:id="1091588639">
      <w:bodyDiv w:val="1"/>
      <w:marLeft w:val="0"/>
      <w:marRight w:val="0"/>
      <w:marTop w:val="0"/>
      <w:marBottom w:val="0"/>
      <w:divBdr>
        <w:top w:val="none" w:sz="0" w:space="0" w:color="auto"/>
        <w:left w:val="none" w:sz="0" w:space="0" w:color="auto"/>
        <w:bottom w:val="none" w:sz="0" w:space="0" w:color="auto"/>
        <w:right w:val="none" w:sz="0" w:space="0" w:color="auto"/>
      </w:divBdr>
    </w:div>
    <w:div w:id="1095174287">
      <w:bodyDiv w:val="1"/>
      <w:marLeft w:val="0"/>
      <w:marRight w:val="0"/>
      <w:marTop w:val="0"/>
      <w:marBottom w:val="0"/>
      <w:divBdr>
        <w:top w:val="none" w:sz="0" w:space="0" w:color="auto"/>
        <w:left w:val="none" w:sz="0" w:space="0" w:color="auto"/>
        <w:bottom w:val="none" w:sz="0" w:space="0" w:color="auto"/>
        <w:right w:val="none" w:sz="0" w:space="0" w:color="auto"/>
      </w:divBdr>
    </w:div>
    <w:div w:id="1124348602">
      <w:bodyDiv w:val="1"/>
      <w:marLeft w:val="0"/>
      <w:marRight w:val="0"/>
      <w:marTop w:val="0"/>
      <w:marBottom w:val="0"/>
      <w:divBdr>
        <w:top w:val="none" w:sz="0" w:space="0" w:color="auto"/>
        <w:left w:val="none" w:sz="0" w:space="0" w:color="auto"/>
        <w:bottom w:val="none" w:sz="0" w:space="0" w:color="auto"/>
        <w:right w:val="none" w:sz="0" w:space="0" w:color="auto"/>
      </w:divBdr>
    </w:div>
    <w:div w:id="1131748251">
      <w:bodyDiv w:val="1"/>
      <w:marLeft w:val="0"/>
      <w:marRight w:val="0"/>
      <w:marTop w:val="0"/>
      <w:marBottom w:val="0"/>
      <w:divBdr>
        <w:top w:val="none" w:sz="0" w:space="0" w:color="auto"/>
        <w:left w:val="none" w:sz="0" w:space="0" w:color="auto"/>
        <w:bottom w:val="none" w:sz="0" w:space="0" w:color="auto"/>
        <w:right w:val="none" w:sz="0" w:space="0" w:color="auto"/>
      </w:divBdr>
    </w:div>
    <w:div w:id="1182475795">
      <w:bodyDiv w:val="1"/>
      <w:marLeft w:val="0"/>
      <w:marRight w:val="0"/>
      <w:marTop w:val="0"/>
      <w:marBottom w:val="0"/>
      <w:divBdr>
        <w:top w:val="none" w:sz="0" w:space="0" w:color="auto"/>
        <w:left w:val="none" w:sz="0" w:space="0" w:color="auto"/>
        <w:bottom w:val="none" w:sz="0" w:space="0" w:color="auto"/>
        <w:right w:val="none" w:sz="0" w:space="0" w:color="auto"/>
      </w:divBdr>
    </w:div>
    <w:div w:id="1202329372">
      <w:bodyDiv w:val="1"/>
      <w:marLeft w:val="0"/>
      <w:marRight w:val="0"/>
      <w:marTop w:val="0"/>
      <w:marBottom w:val="0"/>
      <w:divBdr>
        <w:top w:val="none" w:sz="0" w:space="0" w:color="auto"/>
        <w:left w:val="none" w:sz="0" w:space="0" w:color="auto"/>
        <w:bottom w:val="none" w:sz="0" w:space="0" w:color="auto"/>
        <w:right w:val="none" w:sz="0" w:space="0" w:color="auto"/>
      </w:divBdr>
    </w:div>
    <w:div w:id="1211840368">
      <w:bodyDiv w:val="1"/>
      <w:marLeft w:val="0"/>
      <w:marRight w:val="0"/>
      <w:marTop w:val="0"/>
      <w:marBottom w:val="0"/>
      <w:divBdr>
        <w:top w:val="none" w:sz="0" w:space="0" w:color="auto"/>
        <w:left w:val="none" w:sz="0" w:space="0" w:color="auto"/>
        <w:bottom w:val="none" w:sz="0" w:space="0" w:color="auto"/>
        <w:right w:val="none" w:sz="0" w:space="0" w:color="auto"/>
      </w:divBdr>
    </w:div>
    <w:div w:id="1227760382">
      <w:bodyDiv w:val="1"/>
      <w:marLeft w:val="0"/>
      <w:marRight w:val="0"/>
      <w:marTop w:val="0"/>
      <w:marBottom w:val="0"/>
      <w:divBdr>
        <w:top w:val="none" w:sz="0" w:space="0" w:color="auto"/>
        <w:left w:val="none" w:sz="0" w:space="0" w:color="auto"/>
        <w:bottom w:val="none" w:sz="0" w:space="0" w:color="auto"/>
        <w:right w:val="none" w:sz="0" w:space="0" w:color="auto"/>
      </w:divBdr>
    </w:div>
    <w:div w:id="1248341341">
      <w:bodyDiv w:val="1"/>
      <w:marLeft w:val="0"/>
      <w:marRight w:val="0"/>
      <w:marTop w:val="0"/>
      <w:marBottom w:val="0"/>
      <w:divBdr>
        <w:top w:val="none" w:sz="0" w:space="0" w:color="auto"/>
        <w:left w:val="none" w:sz="0" w:space="0" w:color="auto"/>
        <w:bottom w:val="none" w:sz="0" w:space="0" w:color="auto"/>
        <w:right w:val="none" w:sz="0" w:space="0" w:color="auto"/>
      </w:divBdr>
    </w:div>
    <w:div w:id="1259021804">
      <w:bodyDiv w:val="1"/>
      <w:marLeft w:val="0"/>
      <w:marRight w:val="0"/>
      <w:marTop w:val="0"/>
      <w:marBottom w:val="0"/>
      <w:divBdr>
        <w:top w:val="none" w:sz="0" w:space="0" w:color="auto"/>
        <w:left w:val="none" w:sz="0" w:space="0" w:color="auto"/>
        <w:bottom w:val="none" w:sz="0" w:space="0" w:color="auto"/>
        <w:right w:val="none" w:sz="0" w:space="0" w:color="auto"/>
      </w:divBdr>
    </w:div>
    <w:div w:id="1272054057">
      <w:bodyDiv w:val="1"/>
      <w:marLeft w:val="0"/>
      <w:marRight w:val="0"/>
      <w:marTop w:val="0"/>
      <w:marBottom w:val="0"/>
      <w:divBdr>
        <w:top w:val="none" w:sz="0" w:space="0" w:color="auto"/>
        <w:left w:val="none" w:sz="0" w:space="0" w:color="auto"/>
        <w:bottom w:val="none" w:sz="0" w:space="0" w:color="auto"/>
        <w:right w:val="none" w:sz="0" w:space="0" w:color="auto"/>
      </w:divBdr>
    </w:div>
    <w:div w:id="1314024254">
      <w:bodyDiv w:val="1"/>
      <w:marLeft w:val="0"/>
      <w:marRight w:val="0"/>
      <w:marTop w:val="0"/>
      <w:marBottom w:val="0"/>
      <w:divBdr>
        <w:top w:val="none" w:sz="0" w:space="0" w:color="auto"/>
        <w:left w:val="none" w:sz="0" w:space="0" w:color="auto"/>
        <w:bottom w:val="none" w:sz="0" w:space="0" w:color="auto"/>
        <w:right w:val="none" w:sz="0" w:space="0" w:color="auto"/>
      </w:divBdr>
    </w:div>
    <w:div w:id="1315262495">
      <w:bodyDiv w:val="1"/>
      <w:marLeft w:val="0"/>
      <w:marRight w:val="0"/>
      <w:marTop w:val="0"/>
      <w:marBottom w:val="0"/>
      <w:divBdr>
        <w:top w:val="none" w:sz="0" w:space="0" w:color="auto"/>
        <w:left w:val="none" w:sz="0" w:space="0" w:color="auto"/>
        <w:bottom w:val="none" w:sz="0" w:space="0" w:color="auto"/>
        <w:right w:val="none" w:sz="0" w:space="0" w:color="auto"/>
      </w:divBdr>
    </w:div>
    <w:div w:id="1325863570">
      <w:bodyDiv w:val="1"/>
      <w:marLeft w:val="0"/>
      <w:marRight w:val="0"/>
      <w:marTop w:val="0"/>
      <w:marBottom w:val="0"/>
      <w:divBdr>
        <w:top w:val="none" w:sz="0" w:space="0" w:color="auto"/>
        <w:left w:val="none" w:sz="0" w:space="0" w:color="auto"/>
        <w:bottom w:val="none" w:sz="0" w:space="0" w:color="auto"/>
        <w:right w:val="none" w:sz="0" w:space="0" w:color="auto"/>
      </w:divBdr>
    </w:div>
    <w:div w:id="1345746457">
      <w:bodyDiv w:val="1"/>
      <w:marLeft w:val="0"/>
      <w:marRight w:val="0"/>
      <w:marTop w:val="0"/>
      <w:marBottom w:val="0"/>
      <w:divBdr>
        <w:top w:val="none" w:sz="0" w:space="0" w:color="auto"/>
        <w:left w:val="none" w:sz="0" w:space="0" w:color="auto"/>
        <w:bottom w:val="none" w:sz="0" w:space="0" w:color="auto"/>
        <w:right w:val="none" w:sz="0" w:space="0" w:color="auto"/>
      </w:divBdr>
    </w:div>
    <w:div w:id="1357073906">
      <w:bodyDiv w:val="1"/>
      <w:marLeft w:val="0"/>
      <w:marRight w:val="0"/>
      <w:marTop w:val="0"/>
      <w:marBottom w:val="0"/>
      <w:divBdr>
        <w:top w:val="none" w:sz="0" w:space="0" w:color="auto"/>
        <w:left w:val="none" w:sz="0" w:space="0" w:color="auto"/>
        <w:bottom w:val="none" w:sz="0" w:space="0" w:color="auto"/>
        <w:right w:val="none" w:sz="0" w:space="0" w:color="auto"/>
      </w:divBdr>
    </w:div>
    <w:div w:id="1422868864">
      <w:bodyDiv w:val="1"/>
      <w:marLeft w:val="0"/>
      <w:marRight w:val="0"/>
      <w:marTop w:val="0"/>
      <w:marBottom w:val="0"/>
      <w:divBdr>
        <w:top w:val="none" w:sz="0" w:space="0" w:color="auto"/>
        <w:left w:val="none" w:sz="0" w:space="0" w:color="auto"/>
        <w:bottom w:val="none" w:sz="0" w:space="0" w:color="auto"/>
        <w:right w:val="none" w:sz="0" w:space="0" w:color="auto"/>
      </w:divBdr>
    </w:div>
    <w:div w:id="1438477105">
      <w:bodyDiv w:val="1"/>
      <w:marLeft w:val="0"/>
      <w:marRight w:val="0"/>
      <w:marTop w:val="0"/>
      <w:marBottom w:val="0"/>
      <w:divBdr>
        <w:top w:val="none" w:sz="0" w:space="0" w:color="auto"/>
        <w:left w:val="none" w:sz="0" w:space="0" w:color="auto"/>
        <w:bottom w:val="none" w:sz="0" w:space="0" w:color="auto"/>
        <w:right w:val="none" w:sz="0" w:space="0" w:color="auto"/>
      </w:divBdr>
    </w:div>
    <w:div w:id="1444495751">
      <w:bodyDiv w:val="1"/>
      <w:marLeft w:val="0"/>
      <w:marRight w:val="0"/>
      <w:marTop w:val="0"/>
      <w:marBottom w:val="0"/>
      <w:divBdr>
        <w:top w:val="none" w:sz="0" w:space="0" w:color="auto"/>
        <w:left w:val="none" w:sz="0" w:space="0" w:color="auto"/>
        <w:bottom w:val="none" w:sz="0" w:space="0" w:color="auto"/>
        <w:right w:val="none" w:sz="0" w:space="0" w:color="auto"/>
      </w:divBdr>
    </w:div>
    <w:div w:id="1457531449">
      <w:bodyDiv w:val="1"/>
      <w:marLeft w:val="0"/>
      <w:marRight w:val="0"/>
      <w:marTop w:val="0"/>
      <w:marBottom w:val="0"/>
      <w:divBdr>
        <w:top w:val="none" w:sz="0" w:space="0" w:color="auto"/>
        <w:left w:val="none" w:sz="0" w:space="0" w:color="auto"/>
        <w:bottom w:val="none" w:sz="0" w:space="0" w:color="auto"/>
        <w:right w:val="none" w:sz="0" w:space="0" w:color="auto"/>
      </w:divBdr>
    </w:div>
    <w:div w:id="1494491667">
      <w:bodyDiv w:val="1"/>
      <w:marLeft w:val="0"/>
      <w:marRight w:val="0"/>
      <w:marTop w:val="0"/>
      <w:marBottom w:val="0"/>
      <w:divBdr>
        <w:top w:val="none" w:sz="0" w:space="0" w:color="auto"/>
        <w:left w:val="none" w:sz="0" w:space="0" w:color="auto"/>
        <w:bottom w:val="none" w:sz="0" w:space="0" w:color="auto"/>
        <w:right w:val="none" w:sz="0" w:space="0" w:color="auto"/>
      </w:divBdr>
    </w:div>
    <w:div w:id="1498382321">
      <w:bodyDiv w:val="1"/>
      <w:marLeft w:val="0"/>
      <w:marRight w:val="0"/>
      <w:marTop w:val="0"/>
      <w:marBottom w:val="0"/>
      <w:divBdr>
        <w:top w:val="none" w:sz="0" w:space="0" w:color="auto"/>
        <w:left w:val="none" w:sz="0" w:space="0" w:color="auto"/>
        <w:bottom w:val="none" w:sz="0" w:space="0" w:color="auto"/>
        <w:right w:val="none" w:sz="0" w:space="0" w:color="auto"/>
      </w:divBdr>
    </w:div>
    <w:div w:id="1509516497">
      <w:bodyDiv w:val="1"/>
      <w:marLeft w:val="0"/>
      <w:marRight w:val="0"/>
      <w:marTop w:val="0"/>
      <w:marBottom w:val="0"/>
      <w:divBdr>
        <w:top w:val="none" w:sz="0" w:space="0" w:color="auto"/>
        <w:left w:val="none" w:sz="0" w:space="0" w:color="auto"/>
        <w:bottom w:val="none" w:sz="0" w:space="0" w:color="auto"/>
        <w:right w:val="none" w:sz="0" w:space="0" w:color="auto"/>
      </w:divBdr>
    </w:div>
    <w:div w:id="1525090436">
      <w:bodyDiv w:val="1"/>
      <w:marLeft w:val="0"/>
      <w:marRight w:val="0"/>
      <w:marTop w:val="0"/>
      <w:marBottom w:val="0"/>
      <w:divBdr>
        <w:top w:val="none" w:sz="0" w:space="0" w:color="auto"/>
        <w:left w:val="none" w:sz="0" w:space="0" w:color="auto"/>
        <w:bottom w:val="none" w:sz="0" w:space="0" w:color="auto"/>
        <w:right w:val="none" w:sz="0" w:space="0" w:color="auto"/>
      </w:divBdr>
    </w:div>
    <w:div w:id="1613246139">
      <w:bodyDiv w:val="1"/>
      <w:marLeft w:val="0"/>
      <w:marRight w:val="0"/>
      <w:marTop w:val="0"/>
      <w:marBottom w:val="0"/>
      <w:divBdr>
        <w:top w:val="none" w:sz="0" w:space="0" w:color="auto"/>
        <w:left w:val="none" w:sz="0" w:space="0" w:color="auto"/>
        <w:bottom w:val="none" w:sz="0" w:space="0" w:color="auto"/>
        <w:right w:val="none" w:sz="0" w:space="0" w:color="auto"/>
      </w:divBdr>
    </w:div>
    <w:div w:id="1692796925">
      <w:bodyDiv w:val="1"/>
      <w:marLeft w:val="0"/>
      <w:marRight w:val="0"/>
      <w:marTop w:val="0"/>
      <w:marBottom w:val="0"/>
      <w:divBdr>
        <w:top w:val="none" w:sz="0" w:space="0" w:color="auto"/>
        <w:left w:val="none" w:sz="0" w:space="0" w:color="auto"/>
        <w:bottom w:val="none" w:sz="0" w:space="0" w:color="auto"/>
        <w:right w:val="none" w:sz="0" w:space="0" w:color="auto"/>
      </w:divBdr>
    </w:div>
    <w:div w:id="1897548744">
      <w:bodyDiv w:val="1"/>
      <w:marLeft w:val="0"/>
      <w:marRight w:val="0"/>
      <w:marTop w:val="0"/>
      <w:marBottom w:val="0"/>
      <w:divBdr>
        <w:top w:val="none" w:sz="0" w:space="0" w:color="auto"/>
        <w:left w:val="none" w:sz="0" w:space="0" w:color="auto"/>
        <w:bottom w:val="none" w:sz="0" w:space="0" w:color="auto"/>
        <w:right w:val="none" w:sz="0" w:space="0" w:color="auto"/>
      </w:divBdr>
    </w:div>
    <w:div w:id="1933321832">
      <w:bodyDiv w:val="1"/>
      <w:marLeft w:val="0"/>
      <w:marRight w:val="0"/>
      <w:marTop w:val="0"/>
      <w:marBottom w:val="0"/>
      <w:divBdr>
        <w:top w:val="none" w:sz="0" w:space="0" w:color="auto"/>
        <w:left w:val="none" w:sz="0" w:space="0" w:color="auto"/>
        <w:bottom w:val="none" w:sz="0" w:space="0" w:color="auto"/>
        <w:right w:val="none" w:sz="0" w:space="0" w:color="auto"/>
      </w:divBdr>
    </w:div>
    <w:div w:id="1936086017">
      <w:bodyDiv w:val="1"/>
      <w:marLeft w:val="0"/>
      <w:marRight w:val="0"/>
      <w:marTop w:val="0"/>
      <w:marBottom w:val="0"/>
      <w:divBdr>
        <w:top w:val="none" w:sz="0" w:space="0" w:color="auto"/>
        <w:left w:val="none" w:sz="0" w:space="0" w:color="auto"/>
        <w:bottom w:val="none" w:sz="0" w:space="0" w:color="auto"/>
        <w:right w:val="none" w:sz="0" w:space="0" w:color="auto"/>
      </w:divBdr>
    </w:div>
    <w:div w:id="1941520777">
      <w:bodyDiv w:val="1"/>
      <w:marLeft w:val="0"/>
      <w:marRight w:val="0"/>
      <w:marTop w:val="0"/>
      <w:marBottom w:val="0"/>
      <w:divBdr>
        <w:top w:val="none" w:sz="0" w:space="0" w:color="auto"/>
        <w:left w:val="none" w:sz="0" w:space="0" w:color="auto"/>
        <w:bottom w:val="none" w:sz="0" w:space="0" w:color="auto"/>
        <w:right w:val="none" w:sz="0" w:space="0" w:color="auto"/>
      </w:divBdr>
    </w:div>
    <w:div w:id="1947927382">
      <w:bodyDiv w:val="1"/>
      <w:marLeft w:val="0"/>
      <w:marRight w:val="0"/>
      <w:marTop w:val="0"/>
      <w:marBottom w:val="0"/>
      <w:divBdr>
        <w:top w:val="none" w:sz="0" w:space="0" w:color="auto"/>
        <w:left w:val="none" w:sz="0" w:space="0" w:color="auto"/>
        <w:bottom w:val="none" w:sz="0" w:space="0" w:color="auto"/>
        <w:right w:val="none" w:sz="0" w:space="0" w:color="auto"/>
      </w:divBdr>
    </w:div>
    <w:div w:id="1954896834">
      <w:bodyDiv w:val="1"/>
      <w:marLeft w:val="0"/>
      <w:marRight w:val="0"/>
      <w:marTop w:val="0"/>
      <w:marBottom w:val="0"/>
      <w:divBdr>
        <w:top w:val="none" w:sz="0" w:space="0" w:color="auto"/>
        <w:left w:val="none" w:sz="0" w:space="0" w:color="auto"/>
        <w:bottom w:val="none" w:sz="0" w:space="0" w:color="auto"/>
        <w:right w:val="none" w:sz="0" w:space="0" w:color="auto"/>
      </w:divBdr>
    </w:div>
    <w:div w:id="1979918043">
      <w:bodyDiv w:val="1"/>
      <w:marLeft w:val="0"/>
      <w:marRight w:val="0"/>
      <w:marTop w:val="0"/>
      <w:marBottom w:val="0"/>
      <w:divBdr>
        <w:top w:val="none" w:sz="0" w:space="0" w:color="auto"/>
        <w:left w:val="none" w:sz="0" w:space="0" w:color="auto"/>
        <w:bottom w:val="none" w:sz="0" w:space="0" w:color="auto"/>
        <w:right w:val="none" w:sz="0" w:space="0" w:color="auto"/>
      </w:divBdr>
    </w:div>
    <w:div w:id="1987584308">
      <w:bodyDiv w:val="1"/>
      <w:marLeft w:val="0"/>
      <w:marRight w:val="0"/>
      <w:marTop w:val="0"/>
      <w:marBottom w:val="0"/>
      <w:divBdr>
        <w:top w:val="none" w:sz="0" w:space="0" w:color="auto"/>
        <w:left w:val="none" w:sz="0" w:space="0" w:color="auto"/>
        <w:bottom w:val="none" w:sz="0" w:space="0" w:color="auto"/>
        <w:right w:val="none" w:sz="0" w:space="0" w:color="auto"/>
      </w:divBdr>
    </w:div>
    <w:div w:id="1997799448">
      <w:bodyDiv w:val="1"/>
      <w:marLeft w:val="0"/>
      <w:marRight w:val="0"/>
      <w:marTop w:val="0"/>
      <w:marBottom w:val="0"/>
      <w:divBdr>
        <w:top w:val="none" w:sz="0" w:space="0" w:color="auto"/>
        <w:left w:val="none" w:sz="0" w:space="0" w:color="auto"/>
        <w:bottom w:val="none" w:sz="0" w:space="0" w:color="auto"/>
        <w:right w:val="none" w:sz="0" w:space="0" w:color="auto"/>
      </w:divBdr>
    </w:div>
    <w:div w:id="2011131876">
      <w:bodyDiv w:val="1"/>
      <w:marLeft w:val="0"/>
      <w:marRight w:val="0"/>
      <w:marTop w:val="0"/>
      <w:marBottom w:val="0"/>
      <w:divBdr>
        <w:top w:val="none" w:sz="0" w:space="0" w:color="auto"/>
        <w:left w:val="none" w:sz="0" w:space="0" w:color="auto"/>
        <w:bottom w:val="none" w:sz="0" w:space="0" w:color="auto"/>
        <w:right w:val="none" w:sz="0" w:space="0" w:color="auto"/>
      </w:divBdr>
    </w:div>
    <w:div w:id="2048603200">
      <w:bodyDiv w:val="1"/>
      <w:marLeft w:val="0"/>
      <w:marRight w:val="0"/>
      <w:marTop w:val="0"/>
      <w:marBottom w:val="0"/>
      <w:divBdr>
        <w:top w:val="none" w:sz="0" w:space="0" w:color="auto"/>
        <w:left w:val="none" w:sz="0" w:space="0" w:color="auto"/>
        <w:bottom w:val="none" w:sz="0" w:space="0" w:color="auto"/>
        <w:right w:val="none" w:sz="0" w:space="0" w:color="auto"/>
      </w:divBdr>
    </w:div>
    <w:div w:id="2067215595">
      <w:bodyDiv w:val="1"/>
      <w:marLeft w:val="0"/>
      <w:marRight w:val="0"/>
      <w:marTop w:val="0"/>
      <w:marBottom w:val="0"/>
      <w:divBdr>
        <w:top w:val="none" w:sz="0" w:space="0" w:color="auto"/>
        <w:left w:val="none" w:sz="0" w:space="0" w:color="auto"/>
        <w:bottom w:val="none" w:sz="0" w:space="0" w:color="auto"/>
        <w:right w:val="none" w:sz="0" w:space="0" w:color="auto"/>
      </w:divBdr>
    </w:div>
    <w:div w:id="2086803474">
      <w:bodyDiv w:val="1"/>
      <w:marLeft w:val="0"/>
      <w:marRight w:val="0"/>
      <w:marTop w:val="0"/>
      <w:marBottom w:val="0"/>
      <w:divBdr>
        <w:top w:val="none" w:sz="0" w:space="0" w:color="auto"/>
        <w:left w:val="none" w:sz="0" w:space="0" w:color="auto"/>
        <w:bottom w:val="none" w:sz="0" w:space="0" w:color="auto"/>
        <w:right w:val="none" w:sz="0" w:space="0" w:color="auto"/>
      </w:divBdr>
    </w:div>
    <w:div w:id="2102482932">
      <w:bodyDiv w:val="1"/>
      <w:marLeft w:val="0"/>
      <w:marRight w:val="0"/>
      <w:marTop w:val="0"/>
      <w:marBottom w:val="0"/>
      <w:divBdr>
        <w:top w:val="none" w:sz="0" w:space="0" w:color="auto"/>
        <w:left w:val="none" w:sz="0" w:space="0" w:color="auto"/>
        <w:bottom w:val="none" w:sz="0" w:space="0" w:color="auto"/>
        <w:right w:val="none" w:sz="0" w:space="0" w:color="auto"/>
      </w:divBdr>
    </w:div>
    <w:div w:id="2145194228">
      <w:bodyDiv w:val="1"/>
      <w:marLeft w:val="0"/>
      <w:marRight w:val="0"/>
      <w:marTop w:val="0"/>
      <w:marBottom w:val="0"/>
      <w:divBdr>
        <w:top w:val="none" w:sz="0" w:space="0" w:color="auto"/>
        <w:left w:val="none" w:sz="0" w:space="0" w:color="auto"/>
        <w:bottom w:val="none" w:sz="0" w:space="0" w:color="auto"/>
        <w:right w:val="none" w:sz="0" w:space="0" w:color="auto"/>
      </w:divBdr>
    </w:div>
    <w:div w:id="21455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mckellar@scottishrenewable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Reform@ofgem.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423E3AD5A4EE987BFE463961FD470"/>
        <w:category>
          <w:name w:val="General"/>
          <w:gallery w:val="placeholder"/>
        </w:category>
        <w:types>
          <w:type w:val="bbPlcHdr"/>
        </w:types>
        <w:behaviors>
          <w:behavior w:val="content"/>
        </w:behaviors>
        <w:guid w:val="{B3B4BB4F-8741-4BD5-9FF4-6C5B195C41D6}"/>
      </w:docPartPr>
      <w:docPartBody>
        <w:p w:rsidR="00A16CBC" w:rsidRDefault="001C47A5" w:rsidP="001C47A5">
          <w:pPr>
            <w:pStyle w:val="C9E423E3AD5A4EE987BFE463961FD470"/>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A5"/>
    <w:rsid w:val="000D4897"/>
    <w:rsid w:val="000E1A90"/>
    <w:rsid w:val="001C47A5"/>
    <w:rsid w:val="001C51F0"/>
    <w:rsid w:val="001E542C"/>
    <w:rsid w:val="0035444C"/>
    <w:rsid w:val="003F6DDC"/>
    <w:rsid w:val="004D3BDF"/>
    <w:rsid w:val="005B281F"/>
    <w:rsid w:val="005C0461"/>
    <w:rsid w:val="00697580"/>
    <w:rsid w:val="007738EF"/>
    <w:rsid w:val="00844E5E"/>
    <w:rsid w:val="00915291"/>
    <w:rsid w:val="0097319F"/>
    <w:rsid w:val="00A16CBC"/>
    <w:rsid w:val="00A4198F"/>
    <w:rsid w:val="00A907A1"/>
    <w:rsid w:val="00AD45A0"/>
    <w:rsid w:val="00D22C78"/>
    <w:rsid w:val="00DF4801"/>
    <w:rsid w:val="00DF6B13"/>
    <w:rsid w:val="00E56F0C"/>
    <w:rsid w:val="00F835C6"/>
    <w:rsid w:val="00F8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7A5"/>
    <w:rPr>
      <w:color w:val="808080"/>
    </w:rPr>
  </w:style>
  <w:style w:type="paragraph" w:customStyle="1" w:styleId="C9E423E3AD5A4EE987BFE463961FD470">
    <w:name w:val="C9E423E3AD5A4EE987BFE463961FD470"/>
    <w:rsid w:val="001C4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2c895f-4493-4559-a4e9-878760cae3d6" xsi:nil="true"/>
    <lcf76f155ced4ddcb4097134ff3c332f xmlns="eac62092-3cff-4400-8f75-3d5d05c4ad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1148269E6654AA64FC89333AB4EA2" ma:contentTypeVersion="13" ma:contentTypeDescription="Create a new document." ma:contentTypeScope="" ma:versionID="203a6a07da762c47858dcd2d1e969109">
  <xsd:schema xmlns:xsd="http://www.w3.org/2001/XMLSchema" xmlns:xs="http://www.w3.org/2001/XMLSchema" xmlns:p="http://schemas.microsoft.com/office/2006/metadata/properties" xmlns:ns2="eac62092-3cff-4400-8f75-3d5d05c4ade3" xmlns:ns3="892c895f-4493-4559-a4e9-878760cae3d6" targetNamespace="http://schemas.microsoft.com/office/2006/metadata/properties" ma:root="true" ma:fieldsID="d015a8f8a2593f016367fccfb3111a1c" ns2:_="" ns3:_="">
    <xsd:import namespace="eac62092-3cff-4400-8f75-3d5d05c4ade3"/>
    <xsd:import namespace="892c895f-4493-4559-a4e9-878760ca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62092-3cff-4400-8f75-3d5d05c4a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cfd34f-4b6f-49e1-b92a-f0fb539a87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c895f-4493-4559-a4e9-878760cae3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c1aec1-0e95-4056-ad6f-52f33357b291}" ma:internalName="TaxCatchAll" ma:showField="CatchAllData" ma:web="892c895f-4493-4559-a4e9-878760cae3d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7DE1-9B9F-4981-9CBE-0DC05E206908}">
  <ds:schemaRefs>
    <ds:schemaRef ds:uri="http://schemas.microsoft.com/office/2006/metadata/properties"/>
    <ds:schemaRef ds:uri="http://schemas.microsoft.com/office/infopath/2007/PartnerControls"/>
    <ds:schemaRef ds:uri="892c895f-4493-4559-a4e9-878760cae3d6"/>
    <ds:schemaRef ds:uri="eac62092-3cff-4400-8f75-3d5d05c4ade3"/>
  </ds:schemaRefs>
</ds:datastoreItem>
</file>

<file path=customXml/itemProps2.xml><?xml version="1.0" encoding="utf-8"?>
<ds:datastoreItem xmlns:ds="http://schemas.openxmlformats.org/officeDocument/2006/customXml" ds:itemID="{D9C6C271-D2F7-476A-BB2D-E4C8E75E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62092-3cff-4400-8f75-3d5d05c4ade3"/>
    <ds:schemaRef ds:uri="892c895f-4493-4559-a4e9-878760ca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D3BFD-9419-45EE-87B8-5A78A0B7A4B1}">
  <ds:schemaRefs>
    <ds:schemaRef ds:uri="http://schemas.microsoft.com/sharepoint/v3/contenttype/forms"/>
  </ds:schemaRefs>
</ds:datastoreItem>
</file>

<file path=customXml/itemProps4.xml><?xml version="1.0" encoding="utf-8"?>
<ds:datastoreItem xmlns:ds="http://schemas.openxmlformats.org/officeDocument/2006/customXml" ds:itemID="{E2AFF475-2D7B-3D47-AC22-37B69DCD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2676</Words>
  <Characters>15000</Characters>
  <Application>Microsoft Office Word</Application>
  <DocSecurity>0</DocSecurity>
  <Lines>231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sumnidesign@gmail.com</dc:creator>
  <cp:keywords/>
  <cp:lastModifiedBy>Stephen McKellar</cp:lastModifiedBy>
  <cp:revision>90</cp:revision>
  <cp:lastPrinted>2023-10-20T16:15:00Z</cp:lastPrinted>
  <dcterms:created xsi:type="dcterms:W3CDTF">2023-11-01T10:46:00Z</dcterms:created>
  <dcterms:modified xsi:type="dcterms:W3CDTF">2023-11-06T17:46:00Z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0x010100EFB1148269E6654AA64FC89333AB4EA2</vt:lpwstr>
  </property>
  <property fmtid="{D5CDD505-2E9C-101B-9397-08002B2CF9AE}" pid="3" name="MediaServiceImageTags">
    <vt:lpwstr/>
  </property>
  <property fmtid="{D5CDD505-2E9C-101B-9397-08002B2CF9AE}" pid="4" name="GrammarlyDocumentId">
    <vt:lpwstr>68a67e0a50f211989c05f5b54d07f85116f6153a29cf7ac3f8c4be444a0fc670</vt:lpwstr>
  </property>
</Properties>
</file>