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6210" w14:textId="25B1C27C" w:rsidR="00B912C2" w:rsidRPr="00D74466" w:rsidRDefault="00B96DC7" w:rsidP="00D74466">
      <w:pPr>
        <w:spacing w:before="100" w:beforeAutospacing="1" w:after="100" w:afterAutospacing="1"/>
        <w:rPr>
          <w:rFonts w:ascii="Arial" w:hAnsi="Arial" w:cs="Arial"/>
          <w:sz w:val="21"/>
          <w:szCs w:val="21"/>
        </w:rPr>
      </w:pPr>
      <w:bookmarkStart w:id="0" w:name="_Hlk85468382"/>
      <w:bookmarkEnd w:id="0"/>
      <w:r w:rsidRPr="00D74466">
        <w:rPr>
          <w:rFonts w:ascii="Arial" w:hAnsi="Arial" w:cs="Arial"/>
          <w:sz w:val="21"/>
          <w:szCs w:val="21"/>
        </w:rPr>
        <w:t>Email</w:t>
      </w:r>
      <w:r w:rsidR="00CD43BD" w:rsidRPr="00D74466">
        <w:rPr>
          <w:rFonts w:ascii="Arial" w:hAnsi="Arial" w:cs="Arial"/>
          <w:sz w:val="21"/>
          <w:szCs w:val="21"/>
        </w:rPr>
        <w:t xml:space="preserve"> to:</w:t>
      </w:r>
      <w:r w:rsidR="00990827" w:rsidRPr="00D74466">
        <w:rPr>
          <w:rFonts w:ascii="Arial" w:hAnsi="Arial" w:cs="Arial"/>
          <w:sz w:val="21"/>
          <w:szCs w:val="21"/>
        </w:rPr>
        <w:t xml:space="preserve"> </w:t>
      </w:r>
      <w:r w:rsidR="00990827" w:rsidRPr="00D74466">
        <w:rPr>
          <w:rFonts w:ascii="Arial" w:hAnsi="Arial" w:cs="Arial"/>
          <w:sz w:val="21"/>
          <w:szCs w:val="21"/>
        </w:rPr>
        <w:br/>
      </w:r>
      <w:hyperlink r:id="rId11" w:history="1">
        <w:r w:rsidR="00E55A4D" w:rsidRPr="00D74466">
          <w:rPr>
            <w:rStyle w:val="Hyperlink"/>
            <w:rFonts w:ascii="Arial" w:hAnsi="Arial" w:cs="Arial"/>
            <w:sz w:val="21"/>
            <w:szCs w:val="21"/>
          </w:rPr>
          <w:t>FutureChargingandAccess@ofgem.gov.uk</w:t>
        </w:r>
      </w:hyperlink>
    </w:p>
    <w:sdt>
      <w:sdtPr>
        <w:rPr>
          <w:rFonts w:ascii="Arial" w:hAnsi="Arial" w:cs="Arial"/>
          <w:sz w:val="21"/>
          <w:szCs w:val="21"/>
        </w:rPr>
        <w:alias w:val="Please select the date"/>
        <w:tag w:val="Please select the date"/>
        <w:id w:val="-1603492743"/>
        <w:placeholder>
          <w:docPart w:val="D026329B03414F5B8BEB69D4B72A5C10"/>
        </w:placeholder>
        <w:date w:fullDate="2022-02-10T00:00:00Z">
          <w:dateFormat w:val="dd MMMM yyyy"/>
          <w:lid w:val="en-GB"/>
          <w:storeMappedDataAs w:val="dateTime"/>
          <w:calendar w:val="gregorian"/>
        </w:date>
      </w:sdtPr>
      <w:sdtEndPr/>
      <w:sdtContent>
        <w:p w14:paraId="2668A966" w14:textId="3962231B" w:rsidR="00EC7255" w:rsidRPr="00D74466" w:rsidRDefault="000052BD" w:rsidP="00D74466">
          <w:pPr>
            <w:spacing w:before="100" w:beforeAutospacing="1" w:after="100" w:afterAutospacing="1"/>
            <w:jc w:val="both"/>
            <w:rPr>
              <w:rFonts w:ascii="Arial" w:hAnsi="Arial" w:cs="Arial"/>
              <w:sz w:val="21"/>
              <w:szCs w:val="21"/>
            </w:rPr>
          </w:pPr>
          <w:r w:rsidRPr="00D74466">
            <w:rPr>
              <w:rFonts w:ascii="Arial" w:hAnsi="Arial" w:cs="Arial"/>
              <w:sz w:val="21"/>
              <w:szCs w:val="21"/>
            </w:rPr>
            <w:t>10</w:t>
          </w:r>
          <w:r w:rsidR="009D2996" w:rsidRPr="00D74466">
            <w:rPr>
              <w:rFonts w:ascii="Arial" w:hAnsi="Arial" w:cs="Arial"/>
              <w:sz w:val="21"/>
              <w:szCs w:val="21"/>
            </w:rPr>
            <w:t xml:space="preserve"> </w:t>
          </w:r>
          <w:r w:rsidR="00E55A4D" w:rsidRPr="00D74466">
            <w:rPr>
              <w:rFonts w:ascii="Arial" w:hAnsi="Arial" w:cs="Arial"/>
              <w:sz w:val="21"/>
              <w:szCs w:val="21"/>
            </w:rPr>
            <w:t>February</w:t>
          </w:r>
          <w:r w:rsidR="009D2996" w:rsidRPr="00D74466">
            <w:rPr>
              <w:rFonts w:ascii="Arial" w:hAnsi="Arial" w:cs="Arial"/>
              <w:sz w:val="21"/>
              <w:szCs w:val="21"/>
            </w:rPr>
            <w:t xml:space="preserve"> 202</w:t>
          </w:r>
          <w:r w:rsidR="00E55A4D" w:rsidRPr="00D74466">
            <w:rPr>
              <w:rFonts w:ascii="Arial" w:hAnsi="Arial" w:cs="Arial"/>
              <w:sz w:val="21"/>
              <w:szCs w:val="21"/>
            </w:rPr>
            <w:t>2</w:t>
          </w:r>
        </w:p>
      </w:sdtContent>
    </w:sdt>
    <w:p w14:paraId="183780A1" w14:textId="77777777" w:rsidR="00B912C2" w:rsidRPr="00D74466" w:rsidRDefault="00B912C2" w:rsidP="00D74466">
      <w:pPr>
        <w:spacing w:before="100" w:beforeAutospacing="1" w:after="100" w:afterAutospacing="1"/>
        <w:jc w:val="both"/>
        <w:rPr>
          <w:rFonts w:ascii="Arial" w:hAnsi="Arial" w:cs="Arial"/>
          <w:sz w:val="21"/>
          <w:szCs w:val="21"/>
        </w:rPr>
      </w:pPr>
    </w:p>
    <w:p w14:paraId="244E5A69" w14:textId="2AD0A037" w:rsidR="00B912C2" w:rsidRPr="00D74466" w:rsidRDefault="00E87187" w:rsidP="00D74466">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To whom it may concern, </w:t>
      </w:r>
    </w:p>
    <w:p w14:paraId="731078E4" w14:textId="77777777" w:rsidR="00E55A4D" w:rsidRPr="00D74466" w:rsidRDefault="00E55A4D" w:rsidP="00D74466">
      <w:pPr>
        <w:spacing w:before="100" w:beforeAutospacing="1" w:after="100" w:afterAutospacing="1"/>
        <w:jc w:val="both"/>
        <w:rPr>
          <w:rFonts w:ascii="Arial" w:hAnsi="Arial" w:cs="Arial"/>
          <w:b/>
          <w:bCs/>
          <w:color w:val="000000"/>
          <w:sz w:val="21"/>
          <w:szCs w:val="21"/>
        </w:rPr>
      </w:pPr>
      <w:r w:rsidRPr="00D74466">
        <w:rPr>
          <w:rFonts w:ascii="Arial" w:hAnsi="Arial" w:cs="Arial"/>
          <w:b/>
          <w:bCs/>
          <w:color w:val="000000"/>
          <w:sz w:val="21"/>
          <w:szCs w:val="21"/>
        </w:rPr>
        <w:t>Access and Forward-looking Charges Significant Code Review: Consultation on Updates to Minded to Positions and Response to June 2021 Consultation Feedback</w:t>
      </w:r>
    </w:p>
    <w:p w14:paraId="5F544948" w14:textId="180AD816" w:rsidR="00496DD0" w:rsidRPr="00D74466" w:rsidRDefault="00496DD0" w:rsidP="00D74466">
      <w:pPr>
        <w:spacing w:before="100" w:beforeAutospacing="1" w:after="100" w:afterAutospacing="1"/>
        <w:jc w:val="both"/>
        <w:rPr>
          <w:rFonts w:ascii="Arial" w:hAnsi="Arial" w:cs="Arial"/>
          <w:sz w:val="21"/>
          <w:szCs w:val="21"/>
        </w:rPr>
      </w:pPr>
      <w:r w:rsidRPr="00D74466">
        <w:rPr>
          <w:rFonts w:ascii="Arial" w:hAnsi="Arial" w:cs="Arial"/>
          <w:sz w:val="21"/>
          <w:szCs w:val="21"/>
        </w:rPr>
        <w:t>Scottish Renewables is the voice of Scotland’s renewable energy industry. The sectors we represent deliver investment, jobs, social benefits and reduce the carbon emissions which cause climate change. Our members work across all renewable energy technologies, in Scotland, the UK, Europe and around the world. In representing them, we aim to lead and inform the debate on how the growth of renewable energy can help sustainably heat and power Scotland’s homes and businesses.</w:t>
      </w:r>
    </w:p>
    <w:p w14:paraId="0A3C8861" w14:textId="77777777" w:rsidR="00460116" w:rsidRPr="00D74466" w:rsidRDefault="00460116" w:rsidP="00D74466">
      <w:pPr>
        <w:spacing w:before="100" w:beforeAutospacing="1" w:after="100" w:afterAutospacing="1"/>
        <w:jc w:val="both"/>
        <w:rPr>
          <w:rFonts w:ascii="Arial" w:hAnsi="Arial" w:cs="Arial"/>
          <w:sz w:val="21"/>
          <w:szCs w:val="21"/>
        </w:rPr>
      </w:pPr>
      <w:commentRangeStart w:id="1"/>
      <w:r w:rsidRPr="00D74466">
        <w:rPr>
          <w:rFonts w:ascii="Arial" w:hAnsi="Arial" w:cs="Arial"/>
          <w:sz w:val="21"/>
          <w:szCs w:val="21"/>
        </w:rPr>
        <w:t>In responding to this consultation, we would like to draw your attention to the following points:</w:t>
      </w:r>
    </w:p>
    <w:p w14:paraId="4F489B1F" w14:textId="5947240B" w:rsidR="00460116" w:rsidRPr="00D74466" w:rsidRDefault="00075411" w:rsidP="00D74466">
      <w:pPr>
        <w:pStyle w:val="ListParagraph"/>
        <w:numPr>
          <w:ilvl w:val="0"/>
          <w:numId w:val="1"/>
        </w:numPr>
        <w:spacing w:before="100" w:beforeAutospacing="1" w:after="100" w:afterAutospacing="1" w:line="276" w:lineRule="auto"/>
        <w:jc w:val="both"/>
        <w:rPr>
          <w:rFonts w:cs="Arial"/>
          <w:sz w:val="21"/>
          <w:szCs w:val="21"/>
        </w:rPr>
      </w:pPr>
      <w:r w:rsidRPr="00D74466">
        <w:rPr>
          <w:rFonts w:cs="Arial"/>
          <w:sz w:val="21"/>
          <w:szCs w:val="21"/>
        </w:rPr>
        <w:t>XXX</w:t>
      </w:r>
    </w:p>
    <w:p w14:paraId="193E9FD4" w14:textId="042CB574" w:rsidR="00075411" w:rsidRPr="00D74466" w:rsidRDefault="00075411" w:rsidP="00D74466">
      <w:pPr>
        <w:pStyle w:val="ListParagraph"/>
        <w:numPr>
          <w:ilvl w:val="0"/>
          <w:numId w:val="1"/>
        </w:numPr>
        <w:spacing w:before="100" w:beforeAutospacing="1" w:after="100" w:afterAutospacing="1" w:line="276" w:lineRule="auto"/>
        <w:jc w:val="both"/>
        <w:rPr>
          <w:rFonts w:cs="Arial"/>
          <w:sz w:val="21"/>
          <w:szCs w:val="21"/>
        </w:rPr>
      </w:pPr>
      <w:r w:rsidRPr="00D74466">
        <w:rPr>
          <w:rFonts w:cs="Arial"/>
          <w:sz w:val="21"/>
          <w:szCs w:val="21"/>
        </w:rPr>
        <w:t>XXX</w:t>
      </w:r>
    </w:p>
    <w:p w14:paraId="75F6D0E5" w14:textId="71B8ADD3" w:rsidR="006817D9" w:rsidRPr="00D74466" w:rsidRDefault="00075411" w:rsidP="00074E93">
      <w:pPr>
        <w:pStyle w:val="ListParagraph"/>
        <w:numPr>
          <w:ilvl w:val="0"/>
          <w:numId w:val="1"/>
        </w:numPr>
        <w:spacing w:before="100" w:beforeAutospacing="1" w:after="100" w:afterAutospacing="1" w:line="276" w:lineRule="auto"/>
        <w:jc w:val="both"/>
        <w:rPr>
          <w:rFonts w:cs="Arial"/>
          <w:sz w:val="21"/>
          <w:szCs w:val="21"/>
        </w:rPr>
      </w:pPr>
      <w:r w:rsidRPr="00D74466">
        <w:rPr>
          <w:rFonts w:cs="Arial"/>
          <w:sz w:val="21"/>
          <w:szCs w:val="21"/>
        </w:rPr>
        <w:t>XXX</w:t>
      </w:r>
      <w:commentRangeEnd w:id="1"/>
      <w:r w:rsidR="00AF5603" w:rsidRPr="00D74466">
        <w:rPr>
          <w:rStyle w:val="CommentReference"/>
          <w:rFonts w:cs="Arial"/>
          <w:sz w:val="21"/>
          <w:szCs w:val="21"/>
        </w:rPr>
        <w:commentReference w:id="1"/>
      </w:r>
    </w:p>
    <w:p w14:paraId="6BB510A6" w14:textId="3A68FDCC" w:rsidR="003C1FC0" w:rsidRPr="00D74466" w:rsidRDefault="003C1FC0" w:rsidP="00D74466">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Scottish Renewables would be keen to engage further with this agenda and would be happy to </w:t>
      </w:r>
      <w:r w:rsidR="00332CE2" w:rsidRPr="00D74466">
        <w:rPr>
          <w:rFonts w:ascii="Arial" w:hAnsi="Arial" w:cs="Arial"/>
          <w:sz w:val="21"/>
          <w:szCs w:val="21"/>
        </w:rPr>
        <w:t>discuss our response in more detail.</w:t>
      </w:r>
    </w:p>
    <w:p w14:paraId="1DD9694E" w14:textId="77777777" w:rsidR="00DB3717" w:rsidRPr="00D74466" w:rsidRDefault="00DB3717" w:rsidP="00D74466">
      <w:pPr>
        <w:shd w:val="clear" w:color="auto" w:fill="FFFFFF"/>
        <w:spacing w:before="100" w:beforeAutospacing="1" w:after="100" w:afterAutospacing="1"/>
        <w:jc w:val="both"/>
        <w:rPr>
          <w:rFonts w:ascii="Arial" w:hAnsi="Arial" w:cs="Arial"/>
          <w:sz w:val="21"/>
          <w:szCs w:val="21"/>
        </w:rPr>
      </w:pPr>
    </w:p>
    <w:p w14:paraId="5884EF56" w14:textId="4190D22E" w:rsidR="00DB3717" w:rsidRPr="00D74466" w:rsidRDefault="007E60E8" w:rsidP="00D74466">
      <w:pPr>
        <w:shd w:val="clear" w:color="auto" w:fill="FFFFFF"/>
        <w:spacing w:before="100" w:beforeAutospacing="1" w:after="100" w:afterAutospacing="1"/>
        <w:jc w:val="both"/>
        <w:rPr>
          <w:rFonts w:ascii="Arial" w:hAnsi="Arial" w:cs="Arial"/>
          <w:sz w:val="21"/>
          <w:szCs w:val="21"/>
        </w:rPr>
      </w:pPr>
      <w:r w:rsidRPr="00D74466">
        <w:rPr>
          <w:rFonts w:ascii="Arial" w:hAnsi="Arial" w:cs="Arial"/>
          <w:sz w:val="21"/>
          <w:szCs w:val="21"/>
        </w:rPr>
        <w:t xml:space="preserve">Yours sincerely, </w:t>
      </w:r>
    </w:p>
    <w:p w14:paraId="1692DC2F" w14:textId="7D06A35B" w:rsidR="00F30DB2" w:rsidRPr="00D74466" w:rsidRDefault="00434EDB" w:rsidP="00D74466">
      <w:pPr>
        <w:shd w:val="clear" w:color="auto" w:fill="FFFFFF"/>
        <w:spacing w:before="100" w:beforeAutospacing="1" w:after="100" w:afterAutospacing="1"/>
        <w:jc w:val="both"/>
        <w:rPr>
          <w:rFonts w:ascii="Arial" w:hAnsi="Arial" w:cs="Arial"/>
          <w:noProof/>
          <w:sz w:val="21"/>
          <w:szCs w:val="21"/>
        </w:rPr>
      </w:pPr>
      <w:r w:rsidRPr="00D74466">
        <w:rPr>
          <w:rFonts w:ascii="Arial" w:hAnsi="Arial" w:cs="Arial"/>
          <w:noProof/>
          <w:sz w:val="21"/>
          <w:szCs w:val="21"/>
        </w:rPr>
        <w:drawing>
          <wp:inline distT="0" distB="0" distL="0" distR="0" wp14:anchorId="02B5D77E" wp14:editId="50F073B6">
            <wp:extent cx="2067127" cy="676073"/>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rotWithShape="1">
                    <a:blip r:embed="rId16">
                      <a:extLst>
                        <a:ext uri="{28A0092B-C50C-407E-A947-70E740481C1C}">
                          <a14:useLocalDpi xmlns:a14="http://schemas.microsoft.com/office/drawing/2010/main" val="0"/>
                        </a:ext>
                      </a:extLst>
                    </a:blip>
                    <a:srcRect r="9350" b="18101"/>
                    <a:stretch/>
                  </pic:blipFill>
                  <pic:spPr bwMode="auto">
                    <a:xfrm>
                      <a:off x="0" y="0"/>
                      <a:ext cx="2067127" cy="676073"/>
                    </a:xfrm>
                    <a:prstGeom prst="rect">
                      <a:avLst/>
                    </a:prstGeom>
                    <a:ln>
                      <a:noFill/>
                    </a:ln>
                    <a:extLst>
                      <a:ext uri="{53640926-AAD7-44D8-BBD7-CCE9431645EC}">
                        <a14:shadowObscured xmlns:a14="http://schemas.microsoft.com/office/drawing/2010/main"/>
                      </a:ext>
                    </a:extLst>
                  </pic:spPr>
                </pic:pic>
              </a:graphicData>
            </a:graphic>
          </wp:inline>
        </w:drawing>
      </w:r>
    </w:p>
    <w:p w14:paraId="574F1C96" w14:textId="5C0329BE" w:rsidR="009D2996" w:rsidRPr="00D74466" w:rsidRDefault="00711DEA" w:rsidP="00D74466">
      <w:pPr>
        <w:shd w:val="clear" w:color="auto" w:fill="FFFFFF"/>
        <w:spacing w:before="100" w:beforeAutospacing="1" w:after="100" w:afterAutospacing="1"/>
        <w:rPr>
          <w:rFonts w:ascii="Arial" w:hAnsi="Arial" w:cs="Arial"/>
          <w:sz w:val="21"/>
          <w:szCs w:val="21"/>
        </w:rPr>
      </w:pPr>
      <w:r w:rsidRPr="00D74466">
        <w:rPr>
          <w:rFonts w:ascii="Arial" w:hAnsi="Arial" w:cs="Arial"/>
          <w:sz w:val="21"/>
          <w:szCs w:val="21"/>
        </w:rPr>
        <w:t>Angeles Sandoval</w:t>
      </w:r>
      <w:r w:rsidR="00D74466">
        <w:rPr>
          <w:rFonts w:ascii="Arial" w:hAnsi="Arial" w:cs="Arial"/>
          <w:sz w:val="21"/>
          <w:szCs w:val="21"/>
        </w:rPr>
        <w:br/>
      </w:r>
      <w:r w:rsidR="00B6783E" w:rsidRPr="00D74466">
        <w:rPr>
          <w:rFonts w:ascii="Arial" w:hAnsi="Arial" w:cs="Arial"/>
          <w:b/>
          <w:sz w:val="21"/>
          <w:szCs w:val="21"/>
        </w:rPr>
        <w:t>Policy Manager</w:t>
      </w:r>
      <w:r w:rsidR="00906D40" w:rsidRPr="00D74466">
        <w:rPr>
          <w:rFonts w:ascii="Arial" w:hAnsi="Arial" w:cs="Arial"/>
          <w:b/>
          <w:sz w:val="21"/>
          <w:szCs w:val="21"/>
        </w:rPr>
        <w:t xml:space="preserve"> | Networks &amp; Markets</w:t>
      </w:r>
      <w:r w:rsidR="00D74466">
        <w:rPr>
          <w:rFonts w:ascii="Arial" w:hAnsi="Arial" w:cs="Arial"/>
          <w:b/>
          <w:sz w:val="21"/>
          <w:szCs w:val="21"/>
        </w:rPr>
        <w:br/>
      </w:r>
      <w:r w:rsidR="007E60E8" w:rsidRPr="00D74466">
        <w:rPr>
          <w:rFonts w:ascii="Arial" w:hAnsi="Arial" w:cs="Arial"/>
          <w:sz w:val="21"/>
          <w:szCs w:val="21"/>
        </w:rPr>
        <w:t xml:space="preserve">Scottish Renewables </w:t>
      </w:r>
    </w:p>
    <w:p w14:paraId="10BF7111" w14:textId="5E7FFC69" w:rsidR="00DB3717" w:rsidRPr="00D74466" w:rsidRDefault="00DB3717" w:rsidP="00D74466">
      <w:pPr>
        <w:spacing w:after="0"/>
        <w:rPr>
          <w:rFonts w:ascii="Arial" w:eastAsia="Times New Roman" w:hAnsi="Arial" w:cs="Arial"/>
          <w:b/>
          <w:bCs/>
          <w:sz w:val="21"/>
          <w:szCs w:val="21"/>
          <w:lang w:eastAsia="en-GB"/>
        </w:rPr>
      </w:pPr>
      <w:r w:rsidRPr="00D74466">
        <w:rPr>
          <w:rFonts w:ascii="Arial" w:hAnsi="Arial" w:cs="Arial"/>
          <w:b/>
          <w:bCs/>
          <w:sz w:val="21"/>
          <w:szCs w:val="21"/>
        </w:rPr>
        <w:br w:type="page"/>
      </w:r>
    </w:p>
    <w:p w14:paraId="5538FE24" w14:textId="0926ABC2" w:rsidR="00075411" w:rsidRPr="00D74466" w:rsidRDefault="00075411" w:rsidP="00D74466">
      <w:pPr>
        <w:pStyle w:val="NormalWeb"/>
        <w:numPr>
          <w:ilvl w:val="0"/>
          <w:numId w:val="2"/>
        </w:numPr>
        <w:spacing w:line="276" w:lineRule="auto"/>
        <w:jc w:val="both"/>
        <w:rPr>
          <w:rFonts w:ascii="Arial" w:hAnsi="Arial" w:cs="Arial"/>
          <w:b/>
          <w:bCs/>
          <w:sz w:val="21"/>
          <w:szCs w:val="21"/>
        </w:rPr>
      </w:pPr>
      <w:r w:rsidRPr="00D74466">
        <w:rPr>
          <w:rFonts w:ascii="Arial" w:hAnsi="Arial" w:cs="Arial"/>
          <w:b/>
          <w:bCs/>
          <w:sz w:val="21"/>
          <w:szCs w:val="21"/>
        </w:rPr>
        <w:lastRenderedPageBreak/>
        <w:t>Distribution connection charging boundary</w:t>
      </w:r>
    </w:p>
    <w:p w14:paraId="067A7D5A" w14:textId="5FBECDDF" w:rsidR="00075411" w:rsidRPr="00D74466" w:rsidRDefault="00075411" w:rsidP="00D74466">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00781F" w:rsidRPr="00D74466">
        <w:rPr>
          <w:rFonts w:ascii="Arial" w:hAnsi="Arial" w:cs="Arial"/>
          <w:b/>
          <w:bCs/>
          <w:sz w:val="21"/>
          <w:szCs w:val="21"/>
        </w:rPr>
        <w:t>1.1</w:t>
      </w:r>
      <w:r w:rsidRPr="00D74466">
        <w:rPr>
          <w:rFonts w:ascii="Arial" w:hAnsi="Arial" w:cs="Arial"/>
          <w:b/>
          <w:bCs/>
          <w:sz w:val="21"/>
          <w:szCs w:val="21"/>
        </w:rPr>
        <w:t>:</w:t>
      </w:r>
    </w:p>
    <w:p w14:paraId="52ECE8CB" w14:textId="5B253982" w:rsidR="0000781F" w:rsidRPr="00D74466" w:rsidRDefault="00075411" w:rsidP="00D74466">
      <w:pPr>
        <w:pStyle w:val="NormalWeb"/>
        <w:numPr>
          <w:ilvl w:val="0"/>
          <w:numId w:val="3"/>
        </w:numPr>
        <w:spacing w:line="276" w:lineRule="auto"/>
        <w:jc w:val="both"/>
        <w:rPr>
          <w:rFonts w:ascii="Arial" w:hAnsi="Arial" w:cs="Arial"/>
          <w:b/>
          <w:bCs/>
          <w:sz w:val="21"/>
          <w:szCs w:val="21"/>
        </w:rPr>
      </w:pPr>
      <w:r w:rsidRPr="00D74466">
        <w:rPr>
          <w:rFonts w:ascii="Arial" w:hAnsi="Arial" w:cs="Arial"/>
          <w:b/>
          <w:bCs/>
          <w:sz w:val="21"/>
          <w:szCs w:val="21"/>
        </w:rPr>
        <w:t xml:space="preserve">Do you believe that it is necessary to introduce a </w:t>
      </w:r>
      <w:proofErr w:type="gramStart"/>
      <w:r w:rsidRPr="00D74466">
        <w:rPr>
          <w:rFonts w:ascii="Arial" w:hAnsi="Arial" w:cs="Arial"/>
          <w:b/>
          <w:bCs/>
          <w:sz w:val="21"/>
          <w:szCs w:val="21"/>
        </w:rPr>
        <w:t>High Cost</w:t>
      </w:r>
      <w:proofErr w:type="gramEnd"/>
      <w:r w:rsidRPr="00D74466">
        <w:rPr>
          <w:rFonts w:ascii="Arial" w:hAnsi="Arial" w:cs="Arial"/>
          <w:b/>
          <w:bCs/>
          <w:sz w:val="21"/>
          <w:szCs w:val="21"/>
        </w:rPr>
        <w:t xml:space="preserve"> Cap (HCC) for</w:t>
      </w:r>
      <w:r w:rsidR="0000781F" w:rsidRPr="00D74466">
        <w:rPr>
          <w:rFonts w:ascii="Arial" w:hAnsi="Arial" w:cs="Arial"/>
          <w:b/>
          <w:bCs/>
          <w:sz w:val="21"/>
          <w:szCs w:val="21"/>
        </w:rPr>
        <w:t xml:space="preserve"> </w:t>
      </w:r>
      <w:r w:rsidRPr="00D74466">
        <w:rPr>
          <w:rFonts w:ascii="Arial" w:hAnsi="Arial" w:cs="Arial"/>
          <w:b/>
          <w:bCs/>
          <w:sz w:val="21"/>
          <w:szCs w:val="21"/>
        </w:rPr>
        <w:t>demand, and to retain one for generation?</w:t>
      </w:r>
    </w:p>
    <w:p w14:paraId="6DA609A4" w14:textId="4D43C596" w:rsidR="00C15DE9" w:rsidRPr="00D74466" w:rsidRDefault="00E11D99" w:rsidP="00D74466">
      <w:pPr>
        <w:pStyle w:val="NormalWeb"/>
        <w:spacing w:line="276" w:lineRule="auto"/>
        <w:ind w:left="720"/>
        <w:jc w:val="both"/>
        <w:rPr>
          <w:rFonts w:ascii="Arial" w:hAnsi="Arial" w:cs="Arial"/>
          <w:sz w:val="21"/>
          <w:szCs w:val="21"/>
        </w:rPr>
      </w:pPr>
      <w:r w:rsidRPr="00D74466">
        <w:rPr>
          <w:rFonts w:ascii="Arial" w:hAnsi="Arial" w:cs="Arial"/>
          <w:sz w:val="21"/>
          <w:szCs w:val="21"/>
        </w:rPr>
        <w:t>A</w:t>
      </w:r>
      <w:r w:rsidR="00C15DE9" w:rsidRPr="00D74466">
        <w:rPr>
          <w:rFonts w:ascii="Arial" w:hAnsi="Arial" w:cs="Arial"/>
          <w:sz w:val="21"/>
          <w:szCs w:val="21"/>
        </w:rPr>
        <w:t>s</w:t>
      </w:r>
      <w:r w:rsidRPr="00D74466">
        <w:rPr>
          <w:rFonts w:ascii="Arial" w:hAnsi="Arial" w:cs="Arial"/>
          <w:sz w:val="21"/>
          <w:szCs w:val="21"/>
        </w:rPr>
        <w:t xml:space="preserve"> the current proposal stand</w:t>
      </w:r>
      <w:r w:rsidR="000D40CC" w:rsidRPr="00D74466">
        <w:rPr>
          <w:rFonts w:ascii="Arial" w:hAnsi="Arial" w:cs="Arial"/>
          <w:sz w:val="21"/>
          <w:szCs w:val="21"/>
        </w:rPr>
        <w:t>s</w:t>
      </w:r>
      <w:r w:rsidRPr="00D74466">
        <w:rPr>
          <w:rFonts w:ascii="Arial" w:hAnsi="Arial" w:cs="Arial"/>
          <w:sz w:val="21"/>
          <w:szCs w:val="21"/>
        </w:rPr>
        <w:t>, Scottish Renewables agrees with introducing a HCC for demand, and retain</w:t>
      </w:r>
      <w:r w:rsidR="000D40CC" w:rsidRPr="00D74466">
        <w:rPr>
          <w:rFonts w:ascii="Arial" w:hAnsi="Arial" w:cs="Arial"/>
          <w:sz w:val="21"/>
          <w:szCs w:val="21"/>
        </w:rPr>
        <w:t>ing</w:t>
      </w:r>
      <w:r w:rsidRPr="00D74466">
        <w:rPr>
          <w:rFonts w:ascii="Arial" w:hAnsi="Arial" w:cs="Arial"/>
          <w:sz w:val="21"/>
          <w:szCs w:val="21"/>
        </w:rPr>
        <w:t xml:space="preserve"> one for generation</w:t>
      </w:r>
      <w:r w:rsidR="007213DD" w:rsidRPr="00D74466">
        <w:rPr>
          <w:rFonts w:ascii="Arial" w:hAnsi="Arial" w:cs="Arial"/>
          <w:sz w:val="21"/>
          <w:szCs w:val="21"/>
        </w:rPr>
        <w:t>,</w:t>
      </w:r>
      <w:r w:rsidR="00C15DE9" w:rsidRPr="00D74466">
        <w:rPr>
          <w:rFonts w:ascii="Arial" w:hAnsi="Arial" w:cs="Arial"/>
          <w:sz w:val="21"/>
          <w:szCs w:val="21"/>
        </w:rPr>
        <w:t xml:space="preserve"> </w:t>
      </w:r>
      <w:r w:rsidR="007213DD" w:rsidRPr="00D74466">
        <w:rPr>
          <w:rFonts w:ascii="Arial" w:hAnsi="Arial" w:cs="Arial"/>
          <w:sz w:val="21"/>
          <w:szCs w:val="21"/>
        </w:rPr>
        <w:t>assuming that</w:t>
      </w:r>
      <w:r w:rsidR="005C5261" w:rsidRPr="00D74466">
        <w:rPr>
          <w:rFonts w:ascii="Arial" w:hAnsi="Arial" w:cs="Arial"/>
          <w:sz w:val="21"/>
          <w:szCs w:val="21"/>
        </w:rPr>
        <w:t xml:space="preserve"> no </w:t>
      </w:r>
      <w:r w:rsidR="009255DA">
        <w:rPr>
          <w:rFonts w:ascii="Arial" w:hAnsi="Arial" w:cs="Arial"/>
          <w:sz w:val="21"/>
          <w:szCs w:val="21"/>
        </w:rPr>
        <w:t>significant</w:t>
      </w:r>
      <w:r w:rsidR="009255DA" w:rsidRPr="00D74466">
        <w:rPr>
          <w:rFonts w:ascii="Arial" w:hAnsi="Arial" w:cs="Arial"/>
          <w:sz w:val="21"/>
          <w:szCs w:val="21"/>
        </w:rPr>
        <w:t xml:space="preserve"> </w:t>
      </w:r>
      <w:r w:rsidR="005C5261" w:rsidRPr="00D74466">
        <w:rPr>
          <w:rFonts w:ascii="Arial" w:hAnsi="Arial" w:cs="Arial"/>
          <w:sz w:val="21"/>
          <w:szCs w:val="21"/>
        </w:rPr>
        <w:t xml:space="preserve">changes </w:t>
      </w:r>
      <w:r w:rsidR="009255DA">
        <w:rPr>
          <w:rFonts w:ascii="Arial" w:hAnsi="Arial" w:cs="Arial"/>
          <w:sz w:val="21"/>
          <w:szCs w:val="21"/>
        </w:rPr>
        <w:t>are ma</w:t>
      </w:r>
      <w:r w:rsidR="00B546B3">
        <w:rPr>
          <w:rFonts w:ascii="Arial" w:hAnsi="Arial" w:cs="Arial"/>
          <w:sz w:val="21"/>
          <w:szCs w:val="21"/>
        </w:rPr>
        <w:t>de</w:t>
      </w:r>
      <w:r w:rsidR="009255DA">
        <w:rPr>
          <w:rFonts w:ascii="Arial" w:hAnsi="Arial" w:cs="Arial"/>
          <w:sz w:val="21"/>
          <w:szCs w:val="21"/>
        </w:rPr>
        <w:t xml:space="preserve"> to </w:t>
      </w:r>
      <w:proofErr w:type="spellStart"/>
      <w:r w:rsidR="005C5261" w:rsidRPr="00D74466">
        <w:rPr>
          <w:rFonts w:ascii="Arial" w:hAnsi="Arial" w:cs="Arial"/>
          <w:sz w:val="21"/>
          <w:szCs w:val="21"/>
        </w:rPr>
        <w:t>DUoS</w:t>
      </w:r>
      <w:proofErr w:type="spellEnd"/>
      <w:r w:rsidR="005C5261" w:rsidRPr="00D74466">
        <w:rPr>
          <w:rFonts w:ascii="Arial" w:hAnsi="Arial" w:cs="Arial"/>
          <w:sz w:val="21"/>
          <w:szCs w:val="21"/>
        </w:rPr>
        <w:t xml:space="preserve">. </w:t>
      </w:r>
      <w:r w:rsidR="00C15DE9" w:rsidRPr="00D74466">
        <w:rPr>
          <w:rFonts w:ascii="Arial" w:hAnsi="Arial" w:cs="Arial"/>
          <w:sz w:val="21"/>
          <w:szCs w:val="21"/>
        </w:rPr>
        <w:t>However</w:t>
      </w:r>
      <w:r w:rsidR="005C5261" w:rsidRPr="00D74466">
        <w:rPr>
          <w:rFonts w:ascii="Arial" w:hAnsi="Arial" w:cs="Arial"/>
          <w:sz w:val="21"/>
          <w:szCs w:val="21"/>
        </w:rPr>
        <w:t xml:space="preserve">, if </w:t>
      </w:r>
      <w:r w:rsidR="00C15DE9" w:rsidRPr="00D74466">
        <w:rPr>
          <w:rFonts w:ascii="Arial" w:hAnsi="Arial" w:cs="Arial"/>
          <w:sz w:val="21"/>
          <w:szCs w:val="21"/>
        </w:rPr>
        <w:t xml:space="preserve">the reform of </w:t>
      </w:r>
      <w:proofErr w:type="spellStart"/>
      <w:r w:rsidR="00C15DE9" w:rsidRPr="00D74466">
        <w:rPr>
          <w:rFonts w:ascii="Arial" w:hAnsi="Arial" w:cs="Arial"/>
          <w:sz w:val="21"/>
          <w:szCs w:val="21"/>
        </w:rPr>
        <w:t>DUoS</w:t>
      </w:r>
      <w:proofErr w:type="spellEnd"/>
      <w:r w:rsidR="005C5261" w:rsidRPr="00D74466">
        <w:rPr>
          <w:rFonts w:ascii="Arial" w:hAnsi="Arial" w:cs="Arial"/>
          <w:sz w:val="21"/>
          <w:szCs w:val="21"/>
        </w:rPr>
        <w:t xml:space="preserve"> </w:t>
      </w:r>
      <w:r w:rsidR="009255DA">
        <w:rPr>
          <w:rFonts w:ascii="Arial" w:hAnsi="Arial" w:cs="Arial"/>
          <w:sz w:val="21"/>
          <w:szCs w:val="21"/>
        </w:rPr>
        <w:t xml:space="preserve">results in </w:t>
      </w:r>
      <w:r w:rsidR="005C5261" w:rsidRPr="00D74466">
        <w:rPr>
          <w:rFonts w:ascii="Arial" w:hAnsi="Arial" w:cs="Arial"/>
          <w:sz w:val="21"/>
          <w:szCs w:val="21"/>
        </w:rPr>
        <w:t xml:space="preserve">a very granular </w:t>
      </w:r>
      <w:proofErr w:type="spellStart"/>
      <w:r w:rsidR="005C5261" w:rsidRPr="00D74466">
        <w:rPr>
          <w:rFonts w:ascii="Arial" w:hAnsi="Arial" w:cs="Arial"/>
          <w:sz w:val="21"/>
          <w:szCs w:val="21"/>
        </w:rPr>
        <w:t>DUoS</w:t>
      </w:r>
      <w:proofErr w:type="spellEnd"/>
      <w:r w:rsidR="004114B7" w:rsidRPr="00D74466">
        <w:rPr>
          <w:rFonts w:ascii="Arial" w:hAnsi="Arial" w:cs="Arial"/>
          <w:sz w:val="21"/>
          <w:szCs w:val="21"/>
        </w:rPr>
        <w:t>,</w:t>
      </w:r>
      <w:r w:rsidR="00C15DE9" w:rsidRPr="00D74466">
        <w:rPr>
          <w:rFonts w:ascii="Arial" w:hAnsi="Arial" w:cs="Arial"/>
          <w:sz w:val="21"/>
          <w:szCs w:val="21"/>
        </w:rPr>
        <w:t xml:space="preserve"> </w:t>
      </w:r>
      <w:r w:rsidR="005C5261" w:rsidRPr="00D74466">
        <w:rPr>
          <w:rFonts w:ascii="Arial" w:hAnsi="Arial" w:cs="Arial"/>
          <w:sz w:val="21"/>
          <w:szCs w:val="21"/>
        </w:rPr>
        <w:t xml:space="preserve">this proposal needs to be </w:t>
      </w:r>
      <w:r w:rsidR="00056FB4" w:rsidRPr="00D74466">
        <w:rPr>
          <w:rFonts w:ascii="Arial" w:hAnsi="Arial" w:cs="Arial"/>
          <w:sz w:val="21"/>
          <w:szCs w:val="21"/>
        </w:rPr>
        <w:t>reconsidered</w:t>
      </w:r>
      <w:r w:rsidR="004114B7" w:rsidRPr="00D74466">
        <w:rPr>
          <w:rFonts w:ascii="Arial" w:hAnsi="Arial" w:cs="Arial"/>
          <w:sz w:val="21"/>
          <w:szCs w:val="21"/>
        </w:rPr>
        <w:t xml:space="preserve">, as the value of </w:t>
      </w:r>
      <w:proofErr w:type="gramStart"/>
      <w:r w:rsidR="00DB6822" w:rsidRPr="00D74466">
        <w:rPr>
          <w:rFonts w:ascii="Arial" w:hAnsi="Arial" w:cs="Arial"/>
          <w:sz w:val="21"/>
          <w:szCs w:val="21"/>
        </w:rPr>
        <w:t>a</w:t>
      </w:r>
      <w:proofErr w:type="gramEnd"/>
      <w:r w:rsidR="004114B7" w:rsidRPr="00D74466">
        <w:rPr>
          <w:rFonts w:ascii="Arial" w:hAnsi="Arial" w:cs="Arial"/>
          <w:sz w:val="21"/>
          <w:szCs w:val="21"/>
        </w:rPr>
        <w:t xml:space="preserve"> HCC becomes very difficult to assess</w:t>
      </w:r>
      <w:r w:rsidR="00C15DE9" w:rsidRPr="00D74466">
        <w:rPr>
          <w:rFonts w:ascii="Arial" w:hAnsi="Arial" w:cs="Arial"/>
          <w:sz w:val="21"/>
          <w:szCs w:val="21"/>
        </w:rPr>
        <w:t xml:space="preserve">. </w:t>
      </w:r>
    </w:p>
    <w:p w14:paraId="48C7312A" w14:textId="0D603356" w:rsidR="00075411" w:rsidRPr="00D74466" w:rsidRDefault="00075411" w:rsidP="00D74466">
      <w:pPr>
        <w:pStyle w:val="NormalWeb"/>
        <w:numPr>
          <w:ilvl w:val="0"/>
          <w:numId w:val="3"/>
        </w:numPr>
        <w:spacing w:line="276" w:lineRule="auto"/>
        <w:jc w:val="both"/>
        <w:rPr>
          <w:rFonts w:ascii="Arial" w:hAnsi="Arial" w:cs="Arial"/>
          <w:b/>
          <w:bCs/>
          <w:sz w:val="21"/>
          <w:szCs w:val="21"/>
        </w:rPr>
      </w:pPr>
      <w:r w:rsidRPr="00D74466">
        <w:rPr>
          <w:rFonts w:ascii="Arial" w:hAnsi="Arial" w:cs="Arial"/>
          <w:b/>
          <w:bCs/>
          <w:sz w:val="21"/>
          <w:szCs w:val="21"/>
        </w:rPr>
        <w:t xml:space="preserve">Do you believe that our proposals to do so represent sufficient and </w:t>
      </w:r>
      <w:r w:rsidR="0000781F" w:rsidRPr="00D74466">
        <w:rPr>
          <w:rFonts w:ascii="Arial" w:hAnsi="Arial" w:cs="Arial"/>
          <w:b/>
          <w:bCs/>
          <w:sz w:val="21"/>
          <w:szCs w:val="21"/>
        </w:rPr>
        <w:t>proportionate protection</w:t>
      </w:r>
      <w:r w:rsidRPr="00D74466">
        <w:rPr>
          <w:rFonts w:ascii="Arial" w:hAnsi="Arial" w:cs="Arial"/>
          <w:b/>
          <w:bCs/>
          <w:sz w:val="21"/>
          <w:szCs w:val="21"/>
        </w:rPr>
        <w:t xml:space="preserve"> for </w:t>
      </w:r>
      <w:proofErr w:type="spellStart"/>
      <w:r w:rsidRPr="00D74466">
        <w:rPr>
          <w:rFonts w:ascii="Arial" w:hAnsi="Arial" w:cs="Arial"/>
          <w:b/>
          <w:bCs/>
          <w:sz w:val="21"/>
          <w:szCs w:val="21"/>
        </w:rPr>
        <w:t>DUoS</w:t>
      </w:r>
      <w:proofErr w:type="spellEnd"/>
      <w:r w:rsidRPr="00D74466">
        <w:rPr>
          <w:rFonts w:ascii="Arial" w:hAnsi="Arial" w:cs="Arial"/>
          <w:b/>
          <w:bCs/>
          <w:sz w:val="21"/>
          <w:szCs w:val="21"/>
        </w:rPr>
        <w:t xml:space="preserve"> billpayers against excessively expensive connections driven</w:t>
      </w:r>
      <w:r w:rsidR="0000781F" w:rsidRPr="00D74466">
        <w:rPr>
          <w:rFonts w:ascii="Arial" w:hAnsi="Arial" w:cs="Arial"/>
          <w:b/>
          <w:bCs/>
          <w:sz w:val="21"/>
          <w:szCs w:val="21"/>
        </w:rPr>
        <w:t xml:space="preserve"> </w:t>
      </w:r>
      <w:r w:rsidRPr="00D74466">
        <w:rPr>
          <w:rFonts w:ascii="Arial" w:hAnsi="Arial" w:cs="Arial"/>
          <w:b/>
          <w:bCs/>
          <w:sz w:val="21"/>
          <w:szCs w:val="21"/>
        </w:rPr>
        <w:t>reinforcement?</w:t>
      </w:r>
    </w:p>
    <w:p w14:paraId="6EF7100D" w14:textId="77777777" w:rsidR="0000781F" w:rsidRPr="00D74466" w:rsidRDefault="0000781F" w:rsidP="003D5125">
      <w:pPr>
        <w:pStyle w:val="NormalWeb"/>
        <w:spacing w:line="276" w:lineRule="auto"/>
        <w:ind w:left="720"/>
        <w:jc w:val="both"/>
        <w:rPr>
          <w:rFonts w:ascii="Arial" w:hAnsi="Arial" w:cs="Arial"/>
          <w:b/>
          <w:bCs/>
          <w:sz w:val="21"/>
          <w:szCs w:val="21"/>
        </w:rPr>
      </w:pPr>
    </w:p>
    <w:p w14:paraId="71FEB2F9" w14:textId="77777777" w:rsidR="009529C1" w:rsidRPr="00D74466" w:rsidRDefault="00075411" w:rsidP="00D74466">
      <w:pPr>
        <w:pStyle w:val="NormalWeb"/>
        <w:numPr>
          <w:ilvl w:val="0"/>
          <w:numId w:val="3"/>
        </w:numPr>
        <w:spacing w:line="276" w:lineRule="auto"/>
        <w:jc w:val="both"/>
        <w:rPr>
          <w:rFonts w:ascii="Arial" w:hAnsi="Arial" w:cs="Arial"/>
          <w:b/>
          <w:bCs/>
          <w:sz w:val="21"/>
          <w:szCs w:val="21"/>
        </w:rPr>
      </w:pPr>
      <w:commentRangeStart w:id="2"/>
      <w:r w:rsidRPr="00D74466">
        <w:rPr>
          <w:rFonts w:ascii="Arial" w:hAnsi="Arial" w:cs="Arial"/>
          <w:b/>
          <w:bCs/>
          <w:sz w:val="21"/>
          <w:szCs w:val="21"/>
        </w:rPr>
        <w:t>What are your views on retaining the current ‘voltage rule’ to determine whether the HCC is breached (</w:t>
      </w:r>
      <w:proofErr w:type="spellStart"/>
      <w:proofErr w:type="gramStart"/>
      <w:r w:rsidRPr="00D74466">
        <w:rPr>
          <w:rFonts w:ascii="Arial" w:hAnsi="Arial" w:cs="Arial"/>
          <w:b/>
          <w:bCs/>
          <w:sz w:val="21"/>
          <w:szCs w:val="21"/>
        </w:rPr>
        <w:t>ie</w:t>
      </w:r>
      <w:proofErr w:type="spellEnd"/>
      <w:proofErr w:type="gramEnd"/>
      <w:r w:rsidRPr="00D74466">
        <w:rPr>
          <w:rFonts w:ascii="Arial" w:hAnsi="Arial" w:cs="Arial"/>
          <w:b/>
          <w:bCs/>
          <w:sz w:val="21"/>
          <w:szCs w:val="21"/>
        </w:rPr>
        <w:t xml:space="preserve"> considering the cost of reinforcement at the voltage level</w:t>
      </w:r>
      <w:r w:rsidR="0000781F" w:rsidRPr="00D74466">
        <w:rPr>
          <w:rFonts w:ascii="Arial" w:hAnsi="Arial" w:cs="Arial"/>
          <w:b/>
          <w:bCs/>
          <w:sz w:val="21"/>
          <w:szCs w:val="21"/>
        </w:rPr>
        <w:t xml:space="preserve"> </w:t>
      </w:r>
      <w:r w:rsidRPr="00D74466">
        <w:rPr>
          <w:rFonts w:ascii="Arial" w:hAnsi="Arial" w:cs="Arial"/>
          <w:b/>
          <w:bCs/>
          <w:sz w:val="21"/>
          <w:szCs w:val="21"/>
        </w:rPr>
        <w:t>at point of connection and the voltage level above)?</w:t>
      </w:r>
      <w:commentRangeEnd w:id="2"/>
      <w:r w:rsidR="009529C1" w:rsidRPr="00D74466">
        <w:rPr>
          <w:rStyle w:val="CommentReference"/>
          <w:rFonts w:ascii="Arial" w:eastAsiaTheme="minorHAnsi" w:hAnsi="Arial" w:cs="Arial"/>
          <w:b/>
          <w:bCs/>
          <w:sz w:val="21"/>
          <w:szCs w:val="21"/>
          <w:lang w:eastAsia="en-US"/>
        </w:rPr>
        <w:commentReference w:id="2"/>
      </w:r>
    </w:p>
    <w:p w14:paraId="62F55E25" w14:textId="35218D79" w:rsidR="0000781F" w:rsidRPr="00D74466" w:rsidRDefault="009529C1" w:rsidP="003D5125">
      <w:pPr>
        <w:pStyle w:val="NormalWeb"/>
        <w:spacing w:line="276" w:lineRule="auto"/>
        <w:ind w:left="720"/>
        <w:jc w:val="both"/>
        <w:rPr>
          <w:rFonts w:ascii="Arial" w:hAnsi="Arial" w:cs="Arial"/>
          <w:sz w:val="21"/>
          <w:szCs w:val="21"/>
        </w:rPr>
      </w:pPr>
      <w:r w:rsidRPr="00D74466">
        <w:rPr>
          <w:rFonts w:ascii="Arial" w:hAnsi="Arial" w:cs="Arial"/>
          <w:sz w:val="21"/>
          <w:szCs w:val="21"/>
        </w:rPr>
        <w:t>Ofgem proposes</w:t>
      </w:r>
      <w:r w:rsidR="00CE2916" w:rsidRPr="00D74466">
        <w:rPr>
          <w:rFonts w:ascii="Arial" w:hAnsi="Arial" w:cs="Arial"/>
          <w:sz w:val="21"/>
          <w:szCs w:val="21"/>
        </w:rPr>
        <w:t xml:space="preserve"> that the two voltage levels (at point of connection and the one above) continue to be used in the calculation of the HCC. </w:t>
      </w:r>
      <w:r w:rsidRPr="00D74466">
        <w:rPr>
          <w:rFonts w:ascii="Arial" w:hAnsi="Arial" w:cs="Arial"/>
          <w:sz w:val="21"/>
          <w:szCs w:val="21"/>
        </w:rPr>
        <w:t>They</w:t>
      </w:r>
      <w:r w:rsidR="00CE2916" w:rsidRPr="00D74466">
        <w:rPr>
          <w:rFonts w:ascii="Arial" w:hAnsi="Arial" w:cs="Arial"/>
          <w:sz w:val="21"/>
          <w:szCs w:val="21"/>
        </w:rPr>
        <w:t xml:space="preserve"> do not consider this to be contrary to shallower connection charges, as connecting customers will still face reduced reinforcement charges versus status quo arrangements, regardless of whether they hit the cap</w:t>
      </w:r>
      <w:r w:rsidR="00DE21A4" w:rsidRPr="00D74466">
        <w:rPr>
          <w:rFonts w:ascii="Arial" w:hAnsi="Arial" w:cs="Arial"/>
          <w:sz w:val="21"/>
          <w:szCs w:val="21"/>
        </w:rPr>
        <w:t xml:space="preserve">. </w:t>
      </w:r>
      <w:r w:rsidR="00182B84" w:rsidRPr="00D74466">
        <w:rPr>
          <w:rFonts w:ascii="Arial" w:hAnsi="Arial" w:cs="Arial"/>
          <w:sz w:val="21"/>
          <w:szCs w:val="21"/>
        </w:rPr>
        <w:t>(point 2.95 page 35)</w:t>
      </w:r>
      <w:r w:rsidR="00DE21A4" w:rsidRPr="00D74466">
        <w:rPr>
          <w:rFonts w:ascii="Arial" w:hAnsi="Arial" w:cs="Arial"/>
          <w:sz w:val="21"/>
          <w:szCs w:val="21"/>
        </w:rPr>
        <w:t>.</w:t>
      </w:r>
    </w:p>
    <w:p w14:paraId="4BAC5173" w14:textId="77777777" w:rsidR="00113827" w:rsidRPr="00D74466" w:rsidRDefault="00075411" w:rsidP="00D74466">
      <w:pPr>
        <w:pStyle w:val="NormalWeb"/>
        <w:numPr>
          <w:ilvl w:val="0"/>
          <w:numId w:val="3"/>
        </w:numPr>
        <w:spacing w:line="276" w:lineRule="auto"/>
        <w:jc w:val="both"/>
        <w:rPr>
          <w:rFonts w:ascii="Arial" w:hAnsi="Arial" w:cs="Arial"/>
          <w:b/>
          <w:bCs/>
          <w:sz w:val="21"/>
          <w:szCs w:val="21"/>
        </w:rPr>
      </w:pPr>
      <w:r w:rsidRPr="00D74466">
        <w:rPr>
          <w:rFonts w:ascii="Arial" w:hAnsi="Arial" w:cs="Arial"/>
          <w:b/>
          <w:bCs/>
          <w:sz w:val="21"/>
          <w:szCs w:val="21"/>
        </w:rPr>
        <w:t>What are your views on the principles we have proposed to determine an</w:t>
      </w:r>
      <w:r w:rsidR="003500B9" w:rsidRPr="00D74466">
        <w:rPr>
          <w:rFonts w:ascii="Arial" w:hAnsi="Arial" w:cs="Arial"/>
          <w:b/>
          <w:bCs/>
          <w:sz w:val="21"/>
          <w:szCs w:val="21"/>
        </w:rPr>
        <w:t xml:space="preserve"> </w:t>
      </w:r>
      <w:r w:rsidRPr="00D74466">
        <w:rPr>
          <w:rFonts w:ascii="Arial" w:hAnsi="Arial" w:cs="Arial"/>
          <w:b/>
          <w:bCs/>
          <w:sz w:val="21"/>
          <w:szCs w:val="21"/>
        </w:rPr>
        <w:t>appropriate HCC level for demand, including the potential for this to be set at a</w:t>
      </w:r>
      <w:r w:rsidR="0000781F" w:rsidRPr="00D74466">
        <w:rPr>
          <w:rFonts w:ascii="Arial" w:hAnsi="Arial" w:cs="Arial"/>
          <w:b/>
          <w:bCs/>
          <w:sz w:val="21"/>
          <w:szCs w:val="21"/>
        </w:rPr>
        <w:t xml:space="preserve"> </w:t>
      </w:r>
      <w:r w:rsidRPr="00D74466">
        <w:rPr>
          <w:rFonts w:ascii="Arial" w:hAnsi="Arial" w:cs="Arial"/>
          <w:b/>
          <w:bCs/>
          <w:sz w:val="21"/>
          <w:szCs w:val="21"/>
        </w:rPr>
        <w:t>different level to generation under these principles?</w:t>
      </w:r>
    </w:p>
    <w:p w14:paraId="4DCB2C69" w14:textId="7DFF4A45" w:rsidR="00606269" w:rsidRPr="00D74466" w:rsidRDefault="00606269" w:rsidP="00D74466">
      <w:pPr>
        <w:pStyle w:val="NormalWeb"/>
        <w:spacing w:line="276" w:lineRule="auto"/>
        <w:ind w:left="720"/>
        <w:jc w:val="both"/>
        <w:rPr>
          <w:rFonts w:ascii="Arial" w:hAnsi="Arial" w:cs="Arial"/>
          <w:b/>
          <w:bCs/>
          <w:sz w:val="21"/>
          <w:szCs w:val="21"/>
        </w:rPr>
      </w:pPr>
      <w:r w:rsidRPr="00D74466">
        <w:rPr>
          <w:rFonts w:ascii="Arial" w:hAnsi="Arial" w:cs="Arial"/>
          <w:sz w:val="21"/>
          <w:szCs w:val="21"/>
        </w:rPr>
        <w:t xml:space="preserve">Ofgem proposal seek your views on the principle that the demand HCC should be set at a threshold (such as the 95th percentile of connection offers on a £/kVA basis) which would act as reasonable protection against the highest cost projects only. From the data provided to them, targeting a threshold at the 95th percentile of ED1 demand connections would result in a cap on total reinforcement costs of circa £1,400/kVA. </w:t>
      </w:r>
    </w:p>
    <w:p w14:paraId="6A7A32E7" w14:textId="45D13047" w:rsidR="00606269" w:rsidRPr="00D74466" w:rsidRDefault="00606269" w:rsidP="00D74466">
      <w:pPr>
        <w:pStyle w:val="NormalWeb"/>
        <w:spacing w:line="276" w:lineRule="auto"/>
        <w:ind w:left="720"/>
        <w:jc w:val="both"/>
        <w:rPr>
          <w:rFonts w:ascii="Arial" w:hAnsi="Arial" w:cs="Arial"/>
          <w:sz w:val="21"/>
          <w:szCs w:val="21"/>
        </w:rPr>
      </w:pPr>
      <w:r w:rsidRPr="00D74466">
        <w:rPr>
          <w:rFonts w:ascii="Arial" w:hAnsi="Arial" w:cs="Arial"/>
          <w:sz w:val="21"/>
          <w:szCs w:val="21"/>
        </w:rPr>
        <w:t xml:space="preserve">Ofgem states that </w:t>
      </w:r>
      <w:r w:rsidR="009B4AF8" w:rsidRPr="00D74466">
        <w:rPr>
          <w:rFonts w:ascii="Arial" w:hAnsi="Arial" w:cs="Arial"/>
          <w:sz w:val="21"/>
          <w:szCs w:val="21"/>
        </w:rPr>
        <w:t xml:space="preserve">as </w:t>
      </w:r>
      <w:r w:rsidRPr="00D74466">
        <w:rPr>
          <w:rFonts w:ascii="Arial" w:hAnsi="Arial" w:cs="Arial"/>
          <w:sz w:val="21"/>
          <w:szCs w:val="21"/>
        </w:rPr>
        <w:t>they do not have the data for two voltage levels only (</w:t>
      </w:r>
      <w:proofErr w:type="gramStart"/>
      <w:r w:rsidR="009255DA" w:rsidRPr="00D74466">
        <w:rPr>
          <w:rFonts w:ascii="Arial" w:hAnsi="Arial" w:cs="Arial"/>
          <w:sz w:val="21"/>
          <w:szCs w:val="21"/>
        </w:rPr>
        <w:t>i.e.</w:t>
      </w:r>
      <w:proofErr w:type="gramEnd"/>
      <w:r w:rsidRPr="00D74466">
        <w:rPr>
          <w:rFonts w:ascii="Arial" w:hAnsi="Arial" w:cs="Arial"/>
          <w:sz w:val="21"/>
          <w:szCs w:val="21"/>
        </w:rPr>
        <w:t xml:space="preserve"> the voltage at the point of connection plus the one above), it is unlikely that the cap will be set at this specific level for their final decision (£1400/kVA refers to total reinforcement costs). This is illustrative of the principles they would apply to protect </w:t>
      </w:r>
      <w:proofErr w:type="spellStart"/>
      <w:r w:rsidRPr="00D74466">
        <w:rPr>
          <w:rFonts w:ascii="Arial" w:hAnsi="Arial" w:cs="Arial"/>
          <w:sz w:val="21"/>
          <w:szCs w:val="21"/>
        </w:rPr>
        <w:t>DUoS</w:t>
      </w:r>
      <w:proofErr w:type="spellEnd"/>
      <w:r w:rsidRPr="00D74466">
        <w:rPr>
          <w:rFonts w:ascii="Arial" w:hAnsi="Arial" w:cs="Arial"/>
          <w:sz w:val="21"/>
          <w:szCs w:val="21"/>
        </w:rPr>
        <w:t xml:space="preserve"> customers from excessive reinforcement costs arising directly from the proposed shallower charging boundaries.</w:t>
      </w:r>
      <w:r w:rsidR="009B4AF8" w:rsidRPr="00D74466">
        <w:rPr>
          <w:rFonts w:ascii="Arial" w:hAnsi="Arial" w:cs="Arial"/>
          <w:sz w:val="21"/>
          <w:szCs w:val="21"/>
        </w:rPr>
        <w:t xml:space="preserve"> (p36 of the consultation)</w:t>
      </w:r>
    </w:p>
    <w:p w14:paraId="1B7FE053" w14:textId="13F592DE" w:rsidR="00606269" w:rsidRPr="00D74466" w:rsidRDefault="009B4AF8" w:rsidP="00D74466">
      <w:pPr>
        <w:pStyle w:val="ListParagraph"/>
        <w:spacing w:before="100" w:beforeAutospacing="1" w:after="100" w:afterAutospacing="1" w:line="276" w:lineRule="auto"/>
        <w:rPr>
          <w:rFonts w:cs="Arial"/>
          <w:sz w:val="21"/>
          <w:szCs w:val="21"/>
        </w:rPr>
      </w:pPr>
      <w:commentRangeStart w:id="3"/>
      <w:r w:rsidRPr="00D74466">
        <w:rPr>
          <w:rFonts w:cs="Arial"/>
          <w:sz w:val="21"/>
          <w:szCs w:val="21"/>
        </w:rPr>
        <w:t xml:space="preserve">Scottish Renewables </w:t>
      </w:r>
      <w:r w:rsidR="00606269" w:rsidRPr="00D74466">
        <w:rPr>
          <w:rFonts w:cs="Arial"/>
          <w:sz w:val="21"/>
          <w:szCs w:val="21"/>
        </w:rPr>
        <w:t>think</w:t>
      </w:r>
      <w:r w:rsidRPr="00D74466">
        <w:rPr>
          <w:rFonts w:cs="Arial"/>
          <w:sz w:val="21"/>
          <w:szCs w:val="21"/>
        </w:rPr>
        <w:t>s</w:t>
      </w:r>
      <w:r w:rsidR="00606269" w:rsidRPr="00D74466">
        <w:rPr>
          <w:rFonts w:cs="Arial"/>
          <w:sz w:val="21"/>
          <w:szCs w:val="21"/>
        </w:rPr>
        <w:t xml:space="preserve"> that this proposal needs to</w:t>
      </w:r>
      <w:r w:rsidR="00DB6822" w:rsidRPr="00D74466">
        <w:rPr>
          <w:rFonts w:cs="Arial"/>
          <w:sz w:val="21"/>
          <w:szCs w:val="21"/>
        </w:rPr>
        <w:t xml:space="preserve"> be</w:t>
      </w:r>
      <w:r w:rsidR="00606269" w:rsidRPr="00D74466">
        <w:rPr>
          <w:rFonts w:cs="Arial"/>
          <w:sz w:val="21"/>
          <w:szCs w:val="21"/>
        </w:rPr>
        <w:t xml:space="preserve"> </w:t>
      </w:r>
      <w:r w:rsidR="00B83FE4" w:rsidRPr="00D74466">
        <w:rPr>
          <w:rFonts w:cs="Arial"/>
          <w:sz w:val="21"/>
          <w:szCs w:val="21"/>
        </w:rPr>
        <w:t>reviewed</w:t>
      </w:r>
      <w:r w:rsidR="00254AB9" w:rsidRPr="00D74466">
        <w:rPr>
          <w:rFonts w:cs="Arial"/>
          <w:sz w:val="21"/>
          <w:szCs w:val="21"/>
        </w:rPr>
        <w:t xml:space="preserve"> </w:t>
      </w:r>
      <w:r w:rsidR="00606269" w:rsidRPr="00D74466">
        <w:rPr>
          <w:rFonts w:cs="Arial"/>
          <w:sz w:val="21"/>
          <w:szCs w:val="21"/>
        </w:rPr>
        <w:t>in more detail. It is</w:t>
      </w:r>
      <w:r w:rsidRPr="00D74466">
        <w:rPr>
          <w:rFonts w:cs="Arial"/>
          <w:sz w:val="21"/>
          <w:szCs w:val="21"/>
        </w:rPr>
        <w:t xml:space="preserve"> still</w:t>
      </w:r>
      <w:r w:rsidR="00606269" w:rsidRPr="00D74466">
        <w:rPr>
          <w:rFonts w:cs="Arial"/>
          <w:sz w:val="21"/>
          <w:szCs w:val="21"/>
        </w:rPr>
        <w:t xml:space="preserve"> not </w:t>
      </w:r>
      <w:r w:rsidRPr="00D74466">
        <w:rPr>
          <w:rFonts w:cs="Arial"/>
          <w:sz w:val="21"/>
          <w:szCs w:val="21"/>
        </w:rPr>
        <w:t xml:space="preserve">very </w:t>
      </w:r>
      <w:r w:rsidR="00606269" w:rsidRPr="00D74466">
        <w:rPr>
          <w:rFonts w:cs="Arial"/>
          <w:sz w:val="21"/>
          <w:szCs w:val="21"/>
        </w:rPr>
        <w:t>clear why Ofgem decided not to index the cap.</w:t>
      </w:r>
      <w:r w:rsidR="00B86BEE" w:rsidRPr="00D74466">
        <w:rPr>
          <w:rFonts w:cs="Arial"/>
          <w:sz w:val="21"/>
          <w:szCs w:val="21"/>
        </w:rPr>
        <w:t xml:space="preserve"> </w:t>
      </w:r>
      <w:proofErr w:type="gramStart"/>
      <w:r w:rsidR="00B86BEE" w:rsidRPr="00D74466">
        <w:rPr>
          <w:rFonts w:cs="Arial"/>
          <w:sz w:val="21"/>
          <w:szCs w:val="21"/>
        </w:rPr>
        <w:t>At the moment</w:t>
      </w:r>
      <w:proofErr w:type="gramEnd"/>
      <w:r w:rsidR="00B86BEE" w:rsidRPr="00D74466">
        <w:rPr>
          <w:rFonts w:cs="Arial"/>
          <w:sz w:val="21"/>
          <w:szCs w:val="21"/>
        </w:rPr>
        <w:t xml:space="preserve">, the cap is a fixed threshold </w:t>
      </w:r>
      <w:r w:rsidR="00113827" w:rsidRPr="00D74466">
        <w:rPr>
          <w:rFonts w:cs="Arial"/>
          <w:sz w:val="21"/>
          <w:szCs w:val="21"/>
        </w:rPr>
        <w:t>(£/kW or £/kV), which in real terms is a shrinking cap.</w:t>
      </w:r>
      <w:commentRangeEnd w:id="3"/>
      <w:r w:rsidR="00113827" w:rsidRPr="00D74466">
        <w:rPr>
          <w:rStyle w:val="CommentReference"/>
          <w:rFonts w:cs="Arial"/>
          <w:sz w:val="21"/>
          <w:szCs w:val="21"/>
        </w:rPr>
        <w:commentReference w:id="3"/>
      </w:r>
    </w:p>
    <w:p w14:paraId="63B039E9" w14:textId="638D2EB9" w:rsidR="0000781F" w:rsidRPr="00D74466" w:rsidRDefault="00075411" w:rsidP="00D74466">
      <w:pPr>
        <w:pStyle w:val="NormalWeb"/>
        <w:spacing w:line="276" w:lineRule="auto"/>
        <w:jc w:val="both"/>
        <w:rPr>
          <w:rFonts w:ascii="Arial" w:hAnsi="Arial" w:cs="Arial"/>
          <w:b/>
          <w:bCs/>
          <w:sz w:val="21"/>
          <w:szCs w:val="21"/>
        </w:rPr>
      </w:pPr>
      <w:commentRangeStart w:id="4"/>
      <w:r w:rsidRPr="00D74466">
        <w:rPr>
          <w:rFonts w:ascii="Arial" w:hAnsi="Arial" w:cs="Arial"/>
          <w:b/>
          <w:bCs/>
          <w:sz w:val="21"/>
          <w:szCs w:val="21"/>
        </w:rPr>
        <w:t xml:space="preserve">Question </w:t>
      </w:r>
      <w:r w:rsidR="0000781F" w:rsidRPr="00D74466">
        <w:rPr>
          <w:rFonts w:ascii="Arial" w:hAnsi="Arial" w:cs="Arial"/>
          <w:b/>
          <w:bCs/>
          <w:sz w:val="21"/>
          <w:szCs w:val="21"/>
        </w:rPr>
        <w:t>1.2</w:t>
      </w:r>
      <w:r w:rsidRPr="00D74466">
        <w:rPr>
          <w:rFonts w:ascii="Arial" w:hAnsi="Arial" w:cs="Arial"/>
          <w:b/>
          <w:bCs/>
          <w:sz w:val="21"/>
          <w:szCs w:val="21"/>
        </w:rPr>
        <w:t>:</w:t>
      </w:r>
    </w:p>
    <w:p w14:paraId="1801E461" w14:textId="1C97E6E4" w:rsidR="006239E3" w:rsidRPr="00D74466" w:rsidRDefault="00075411" w:rsidP="00D74466">
      <w:pPr>
        <w:pStyle w:val="NormalWeb"/>
        <w:spacing w:line="276" w:lineRule="auto"/>
        <w:jc w:val="both"/>
        <w:rPr>
          <w:rFonts w:ascii="Arial" w:hAnsi="Arial" w:cs="Arial"/>
          <w:b/>
          <w:bCs/>
          <w:sz w:val="21"/>
          <w:szCs w:val="21"/>
        </w:rPr>
      </w:pPr>
      <w:r w:rsidRPr="00D74466">
        <w:rPr>
          <w:rFonts w:ascii="Arial" w:hAnsi="Arial" w:cs="Arial"/>
          <w:b/>
          <w:bCs/>
          <w:sz w:val="21"/>
          <w:szCs w:val="21"/>
        </w:rPr>
        <w:lastRenderedPageBreak/>
        <w:t>What are your views on our proposals to maintain the requirement for three</w:t>
      </w:r>
      <w:r w:rsidR="0000781F" w:rsidRPr="00D74466">
        <w:rPr>
          <w:rFonts w:ascii="Arial" w:hAnsi="Arial" w:cs="Arial"/>
          <w:b/>
          <w:bCs/>
          <w:sz w:val="21"/>
          <w:szCs w:val="21"/>
        </w:rPr>
        <w:t xml:space="preserve"> </w:t>
      </w:r>
      <w:r w:rsidRPr="00D74466">
        <w:rPr>
          <w:rFonts w:ascii="Arial" w:hAnsi="Arial" w:cs="Arial"/>
          <w:b/>
          <w:bCs/>
          <w:sz w:val="21"/>
          <w:szCs w:val="21"/>
        </w:rPr>
        <w:t>phase connection requests to pay the full costs of reinforcement, in excess of Minimum</w:t>
      </w:r>
      <w:r w:rsidR="0000781F" w:rsidRPr="00D74466">
        <w:rPr>
          <w:rFonts w:ascii="Arial" w:hAnsi="Arial" w:cs="Arial"/>
          <w:b/>
          <w:bCs/>
          <w:sz w:val="21"/>
          <w:szCs w:val="21"/>
        </w:rPr>
        <w:t xml:space="preserve"> </w:t>
      </w:r>
      <w:r w:rsidRPr="00D74466">
        <w:rPr>
          <w:rFonts w:ascii="Arial" w:hAnsi="Arial" w:cs="Arial"/>
          <w:b/>
          <w:bCs/>
          <w:sz w:val="21"/>
          <w:szCs w:val="21"/>
        </w:rPr>
        <w:t>Scheme (</w:t>
      </w:r>
      <w:proofErr w:type="spellStart"/>
      <w:proofErr w:type="gramStart"/>
      <w:r w:rsidRPr="00D74466">
        <w:rPr>
          <w:rFonts w:ascii="Arial" w:hAnsi="Arial" w:cs="Arial"/>
          <w:b/>
          <w:bCs/>
          <w:sz w:val="21"/>
          <w:szCs w:val="21"/>
        </w:rPr>
        <w:t>ie</w:t>
      </w:r>
      <w:proofErr w:type="spellEnd"/>
      <w:proofErr w:type="gramEnd"/>
      <w:r w:rsidRPr="00D74466">
        <w:rPr>
          <w:rFonts w:ascii="Arial" w:hAnsi="Arial" w:cs="Arial"/>
          <w:b/>
          <w:bCs/>
          <w:sz w:val="21"/>
          <w:szCs w:val="21"/>
        </w:rPr>
        <w:t xml:space="preserve"> lowest overall capital cost)?</w:t>
      </w:r>
    </w:p>
    <w:p w14:paraId="253F8E3C" w14:textId="1E5DA2FB" w:rsidR="00075411" w:rsidRPr="00D74466" w:rsidRDefault="00075411" w:rsidP="00D74466">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00781F" w:rsidRPr="00D74466">
        <w:rPr>
          <w:rFonts w:ascii="Arial" w:hAnsi="Arial" w:cs="Arial"/>
          <w:b/>
          <w:bCs/>
          <w:sz w:val="21"/>
          <w:szCs w:val="21"/>
        </w:rPr>
        <w:t>1.3</w:t>
      </w:r>
      <w:r w:rsidRPr="00D74466">
        <w:rPr>
          <w:rFonts w:ascii="Arial" w:hAnsi="Arial" w:cs="Arial"/>
          <w:b/>
          <w:bCs/>
          <w:sz w:val="21"/>
          <w:szCs w:val="21"/>
        </w:rPr>
        <w:t>:</w:t>
      </w:r>
    </w:p>
    <w:p w14:paraId="110672A3" w14:textId="32C0517B" w:rsidR="003500B9" w:rsidRPr="00D74466" w:rsidRDefault="00075411" w:rsidP="00D74466">
      <w:pPr>
        <w:pStyle w:val="NormalWeb"/>
        <w:numPr>
          <w:ilvl w:val="1"/>
          <w:numId w:val="4"/>
        </w:numPr>
        <w:spacing w:line="276" w:lineRule="auto"/>
        <w:jc w:val="both"/>
        <w:rPr>
          <w:rFonts w:ascii="Arial" w:hAnsi="Arial" w:cs="Arial"/>
          <w:b/>
          <w:bCs/>
          <w:sz w:val="21"/>
          <w:szCs w:val="21"/>
        </w:rPr>
      </w:pPr>
      <w:r w:rsidRPr="00D74466">
        <w:rPr>
          <w:rFonts w:ascii="Arial" w:hAnsi="Arial" w:cs="Arial"/>
          <w:b/>
          <w:bCs/>
          <w:sz w:val="21"/>
          <w:szCs w:val="21"/>
        </w:rPr>
        <w:t>Do you agree with our proposals to maintain the current treatment of speculative</w:t>
      </w:r>
      <w:r w:rsidR="0000781F" w:rsidRPr="00D74466">
        <w:rPr>
          <w:rFonts w:ascii="Arial" w:hAnsi="Arial" w:cs="Arial"/>
          <w:b/>
          <w:bCs/>
          <w:sz w:val="21"/>
          <w:szCs w:val="21"/>
        </w:rPr>
        <w:t xml:space="preserve"> </w:t>
      </w:r>
      <w:r w:rsidRPr="00D74466">
        <w:rPr>
          <w:rFonts w:ascii="Arial" w:hAnsi="Arial" w:cs="Arial"/>
          <w:b/>
          <w:bCs/>
          <w:sz w:val="21"/>
          <w:szCs w:val="21"/>
        </w:rPr>
        <w:t>connections and is there a need for further clarification on the definition of</w:t>
      </w:r>
      <w:r w:rsidR="003500B9" w:rsidRPr="00D74466">
        <w:rPr>
          <w:rFonts w:ascii="Arial" w:hAnsi="Arial" w:cs="Arial"/>
          <w:b/>
          <w:bCs/>
          <w:sz w:val="21"/>
          <w:szCs w:val="21"/>
        </w:rPr>
        <w:t xml:space="preserve"> </w:t>
      </w:r>
      <w:r w:rsidRPr="00D74466">
        <w:rPr>
          <w:rFonts w:ascii="Arial" w:hAnsi="Arial" w:cs="Arial"/>
          <w:b/>
          <w:bCs/>
          <w:sz w:val="21"/>
          <w:szCs w:val="21"/>
        </w:rPr>
        <w:t>speculative connections?</w:t>
      </w:r>
    </w:p>
    <w:p w14:paraId="49F8A03F" w14:textId="1702AAF6" w:rsidR="0000781F" w:rsidRPr="00D74466" w:rsidRDefault="00075411" w:rsidP="00D74466">
      <w:pPr>
        <w:pStyle w:val="NormalWeb"/>
        <w:numPr>
          <w:ilvl w:val="1"/>
          <w:numId w:val="4"/>
        </w:numPr>
        <w:spacing w:line="276" w:lineRule="auto"/>
        <w:jc w:val="both"/>
        <w:rPr>
          <w:rFonts w:ascii="Arial" w:hAnsi="Arial" w:cs="Arial"/>
          <w:b/>
          <w:bCs/>
          <w:sz w:val="21"/>
          <w:szCs w:val="21"/>
        </w:rPr>
      </w:pPr>
      <w:r w:rsidRPr="00D74466">
        <w:rPr>
          <w:rFonts w:ascii="Arial" w:hAnsi="Arial" w:cs="Arial"/>
          <w:b/>
          <w:bCs/>
          <w:sz w:val="21"/>
          <w:szCs w:val="21"/>
        </w:rPr>
        <w:t>Do you agree that our wider connection boundary proposals broaden the disparity</w:t>
      </w:r>
      <w:r w:rsidR="0000781F" w:rsidRPr="00D74466">
        <w:rPr>
          <w:rFonts w:ascii="Arial" w:hAnsi="Arial" w:cs="Arial"/>
          <w:b/>
          <w:bCs/>
          <w:sz w:val="21"/>
          <w:szCs w:val="21"/>
        </w:rPr>
        <w:t xml:space="preserve"> </w:t>
      </w:r>
      <w:r w:rsidRPr="00D74466">
        <w:rPr>
          <w:rFonts w:ascii="Arial" w:hAnsi="Arial" w:cs="Arial"/>
          <w:b/>
          <w:bCs/>
          <w:sz w:val="21"/>
          <w:szCs w:val="21"/>
        </w:rPr>
        <w:t>between connections deemed to be speculative versus non-speculative? If so, do</w:t>
      </w:r>
      <w:r w:rsidR="003500B9" w:rsidRPr="00D74466">
        <w:rPr>
          <w:rFonts w:ascii="Arial" w:hAnsi="Arial" w:cs="Arial"/>
          <w:b/>
          <w:bCs/>
          <w:sz w:val="21"/>
          <w:szCs w:val="21"/>
        </w:rPr>
        <w:t xml:space="preserve"> </w:t>
      </w:r>
      <w:r w:rsidRPr="00D74466">
        <w:rPr>
          <w:rFonts w:ascii="Arial" w:hAnsi="Arial" w:cs="Arial"/>
          <w:b/>
          <w:bCs/>
          <w:sz w:val="21"/>
          <w:szCs w:val="21"/>
        </w:rPr>
        <w:t>you believe this needs to be addressed and how?</w:t>
      </w:r>
      <w:commentRangeEnd w:id="4"/>
      <w:r w:rsidR="00AC6758" w:rsidRPr="00D74466">
        <w:rPr>
          <w:rStyle w:val="CommentReference"/>
          <w:rFonts w:ascii="Arial" w:eastAsiaTheme="minorHAnsi" w:hAnsi="Arial" w:cs="Arial"/>
          <w:b/>
          <w:bCs/>
          <w:sz w:val="21"/>
          <w:szCs w:val="21"/>
          <w:lang w:eastAsia="en-US"/>
        </w:rPr>
        <w:commentReference w:id="4"/>
      </w:r>
    </w:p>
    <w:p w14:paraId="77200A63" w14:textId="77777777" w:rsidR="00D605BE" w:rsidRPr="00D74466" w:rsidRDefault="00D605BE" w:rsidP="00D74466">
      <w:pPr>
        <w:pStyle w:val="NormalWeb"/>
        <w:spacing w:line="276" w:lineRule="auto"/>
        <w:ind w:left="720"/>
        <w:jc w:val="both"/>
        <w:rPr>
          <w:rFonts w:ascii="Arial" w:hAnsi="Arial" w:cs="Arial"/>
          <w:sz w:val="21"/>
          <w:szCs w:val="21"/>
        </w:rPr>
      </w:pPr>
    </w:p>
    <w:p w14:paraId="593C0E36" w14:textId="20D9F2CF" w:rsidR="0000781F" w:rsidRPr="00D74466" w:rsidRDefault="00075411" w:rsidP="00D74466">
      <w:pPr>
        <w:pStyle w:val="NormalWeb"/>
        <w:spacing w:line="276" w:lineRule="auto"/>
        <w:jc w:val="both"/>
        <w:rPr>
          <w:rFonts w:ascii="Arial" w:hAnsi="Arial" w:cs="Arial"/>
          <w:b/>
          <w:bCs/>
          <w:sz w:val="21"/>
          <w:szCs w:val="21"/>
        </w:rPr>
      </w:pPr>
      <w:commentRangeStart w:id="5"/>
      <w:r w:rsidRPr="00D74466">
        <w:rPr>
          <w:rFonts w:ascii="Arial" w:hAnsi="Arial" w:cs="Arial"/>
          <w:b/>
          <w:bCs/>
          <w:sz w:val="21"/>
          <w:szCs w:val="21"/>
        </w:rPr>
        <w:t xml:space="preserve">Question </w:t>
      </w:r>
      <w:r w:rsidR="0000781F" w:rsidRPr="00D74466">
        <w:rPr>
          <w:rFonts w:ascii="Arial" w:hAnsi="Arial" w:cs="Arial"/>
          <w:b/>
          <w:bCs/>
          <w:sz w:val="21"/>
          <w:szCs w:val="21"/>
        </w:rPr>
        <w:t>1.4</w:t>
      </w:r>
      <w:r w:rsidRPr="00D74466">
        <w:rPr>
          <w:rFonts w:ascii="Arial" w:hAnsi="Arial" w:cs="Arial"/>
          <w:b/>
          <w:bCs/>
          <w:sz w:val="21"/>
          <w:szCs w:val="21"/>
        </w:rPr>
        <w:t xml:space="preserve">: </w:t>
      </w:r>
      <w:commentRangeEnd w:id="5"/>
      <w:r w:rsidR="00AC6758" w:rsidRPr="00D74466">
        <w:rPr>
          <w:rStyle w:val="CommentReference"/>
          <w:rFonts w:ascii="Arial" w:eastAsiaTheme="minorHAnsi" w:hAnsi="Arial" w:cs="Arial"/>
          <w:b/>
          <w:bCs/>
          <w:sz w:val="21"/>
          <w:szCs w:val="21"/>
          <w:lang w:eastAsia="en-US"/>
        </w:rPr>
        <w:commentReference w:id="5"/>
      </w:r>
    </w:p>
    <w:p w14:paraId="099CC343" w14:textId="76C82325" w:rsidR="00075411" w:rsidRPr="00D74466" w:rsidRDefault="00075411" w:rsidP="00D74466">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Do you consider that our proposed </w:t>
      </w:r>
      <w:proofErr w:type="spellStart"/>
      <w:r w:rsidRPr="00D74466">
        <w:rPr>
          <w:rFonts w:ascii="Arial" w:hAnsi="Arial" w:cs="Arial"/>
          <w:b/>
          <w:bCs/>
          <w:sz w:val="21"/>
          <w:szCs w:val="21"/>
        </w:rPr>
        <w:t>DUoS</w:t>
      </w:r>
      <w:proofErr w:type="spellEnd"/>
      <w:r w:rsidRPr="00D74466">
        <w:rPr>
          <w:rFonts w:ascii="Arial" w:hAnsi="Arial" w:cs="Arial"/>
          <w:b/>
          <w:bCs/>
          <w:sz w:val="21"/>
          <w:szCs w:val="21"/>
        </w:rPr>
        <w:t xml:space="preserve"> mitigations (a demand HCC, and</w:t>
      </w:r>
      <w:r w:rsidR="000E12E7" w:rsidRPr="00D74466">
        <w:rPr>
          <w:rFonts w:ascii="Arial" w:hAnsi="Arial" w:cs="Arial"/>
          <w:b/>
          <w:bCs/>
          <w:sz w:val="21"/>
          <w:szCs w:val="21"/>
        </w:rPr>
        <w:t xml:space="preserve"> </w:t>
      </w:r>
      <w:r w:rsidRPr="00D74466">
        <w:rPr>
          <w:rFonts w:ascii="Arial" w:hAnsi="Arial" w:cs="Arial"/>
          <w:b/>
          <w:bCs/>
          <w:sz w:val="21"/>
          <w:szCs w:val="21"/>
        </w:rPr>
        <w:t>retaining reinforcement payments for three phase and speculative connection contributions)</w:t>
      </w:r>
      <w:r w:rsidR="000E12E7" w:rsidRPr="00D74466">
        <w:rPr>
          <w:rFonts w:ascii="Arial" w:hAnsi="Arial" w:cs="Arial"/>
          <w:b/>
          <w:bCs/>
          <w:sz w:val="21"/>
          <w:szCs w:val="21"/>
        </w:rPr>
        <w:t xml:space="preserve"> </w:t>
      </w:r>
      <w:r w:rsidRPr="00D74466">
        <w:rPr>
          <w:rFonts w:ascii="Arial" w:hAnsi="Arial" w:cs="Arial"/>
          <w:b/>
          <w:bCs/>
          <w:sz w:val="21"/>
          <w:szCs w:val="21"/>
        </w:rPr>
        <w:t xml:space="preserve">present a cohesive package of protections for </w:t>
      </w:r>
      <w:proofErr w:type="spellStart"/>
      <w:r w:rsidRPr="00D74466">
        <w:rPr>
          <w:rFonts w:ascii="Arial" w:hAnsi="Arial" w:cs="Arial"/>
          <w:b/>
          <w:bCs/>
          <w:sz w:val="21"/>
          <w:szCs w:val="21"/>
        </w:rPr>
        <w:t>DUoS</w:t>
      </w:r>
      <w:proofErr w:type="spellEnd"/>
      <w:r w:rsidRPr="00D74466">
        <w:rPr>
          <w:rFonts w:ascii="Arial" w:hAnsi="Arial" w:cs="Arial"/>
          <w:b/>
          <w:bCs/>
          <w:sz w:val="21"/>
          <w:szCs w:val="21"/>
        </w:rPr>
        <w:t xml:space="preserve"> billpayers? Do you consider these</w:t>
      </w:r>
      <w:r w:rsidR="000E12E7" w:rsidRPr="00D74466">
        <w:rPr>
          <w:rFonts w:ascii="Arial" w:hAnsi="Arial" w:cs="Arial"/>
          <w:b/>
          <w:bCs/>
          <w:sz w:val="21"/>
          <w:szCs w:val="21"/>
        </w:rPr>
        <w:t xml:space="preserve"> </w:t>
      </w:r>
      <w:r w:rsidRPr="00D74466">
        <w:rPr>
          <w:rFonts w:ascii="Arial" w:hAnsi="Arial" w:cs="Arial"/>
          <w:b/>
          <w:bCs/>
          <w:sz w:val="21"/>
          <w:szCs w:val="21"/>
        </w:rPr>
        <w:t>proposals to interact in any way that could counter their effectiveness, and if so, how?</w:t>
      </w:r>
    </w:p>
    <w:p w14:paraId="3BBFF878" w14:textId="77777777" w:rsidR="00D605BE" w:rsidRPr="00D74466" w:rsidRDefault="00D605BE" w:rsidP="00D74466">
      <w:pPr>
        <w:pStyle w:val="NormalWeb"/>
        <w:spacing w:line="276" w:lineRule="auto"/>
        <w:jc w:val="both"/>
        <w:rPr>
          <w:rFonts w:ascii="Arial" w:hAnsi="Arial" w:cs="Arial"/>
          <w:sz w:val="21"/>
          <w:szCs w:val="21"/>
        </w:rPr>
      </w:pPr>
    </w:p>
    <w:p w14:paraId="341134E3" w14:textId="7813B433" w:rsidR="00D605BE" w:rsidRPr="00D74466" w:rsidRDefault="00075411" w:rsidP="003D5125">
      <w:pPr>
        <w:pStyle w:val="NormalWeb"/>
        <w:spacing w:line="276" w:lineRule="auto"/>
        <w:jc w:val="both"/>
        <w:rPr>
          <w:rFonts w:ascii="Arial" w:hAnsi="Arial" w:cs="Arial"/>
          <w:b/>
          <w:bCs/>
          <w:sz w:val="21"/>
          <w:szCs w:val="21"/>
        </w:rPr>
      </w:pPr>
      <w:commentRangeStart w:id="6"/>
      <w:r w:rsidRPr="00D74466">
        <w:rPr>
          <w:rFonts w:ascii="Arial" w:hAnsi="Arial" w:cs="Arial"/>
          <w:b/>
          <w:bCs/>
          <w:sz w:val="21"/>
          <w:szCs w:val="21"/>
        </w:rPr>
        <w:t xml:space="preserve">Question </w:t>
      </w:r>
      <w:r w:rsidR="00D605BE" w:rsidRPr="00D74466">
        <w:rPr>
          <w:rFonts w:ascii="Arial" w:hAnsi="Arial" w:cs="Arial"/>
          <w:b/>
          <w:bCs/>
          <w:sz w:val="21"/>
          <w:szCs w:val="21"/>
        </w:rPr>
        <w:t>1.5</w:t>
      </w:r>
      <w:r w:rsidRPr="00D74466">
        <w:rPr>
          <w:rFonts w:ascii="Arial" w:hAnsi="Arial" w:cs="Arial"/>
          <w:b/>
          <w:bCs/>
          <w:sz w:val="21"/>
          <w:szCs w:val="21"/>
        </w:rPr>
        <w:t>:</w:t>
      </w:r>
    </w:p>
    <w:p w14:paraId="7DB93FE2" w14:textId="572FFEEA" w:rsidR="00075411" w:rsidRPr="00D74466" w:rsidRDefault="00075411"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our updated proposals to treat storage in line with generation for the</w:t>
      </w:r>
      <w:r w:rsidR="003500B9" w:rsidRPr="00D74466">
        <w:rPr>
          <w:rFonts w:ascii="Arial" w:hAnsi="Arial" w:cs="Arial"/>
          <w:b/>
          <w:bCs/>
          <w:sz w:val="21"/>
          <w:szCs w:val="21"/>
        </w:rPr>
        <w:t xml:space="preserve"> </w:t>
      </w:r>
      <w:r w:rsidRPr="00D74466">
        <w:rPr>
          <w:rFonts w:ascii="Arial" w:hAnsi="Arial" w:cs="Arial"/>
          <w:b/>
          <w:bCs/>
          <w:sz w:val="21"/>
          <w:szCs w:val="21"/>
        </w:rPr>
        <w:t>purposes of connection charging simplify charging arrangements for these sites and better align with the broader regulatory and legislative framework?</w:t>
      </w:r>
      <w:commentRangeEnd w:id="6"/>
      <w:r w:rsidR="00D07D04" w:rsidRPr="00D74466">
        <w:rPr>
          <w:rStyle w:val="CommentReference"/>
          <w:rFonts w:ascii="Arial" w:eastAsiaTheme="minorHAnsi" w:hAnsi="Arial" w:cs="Arial"/>
          <w:b/>
          <w:bCs/>
          <w:sz w:val="21"/>
          <w:szCs w:val="21"/>
          <w:lang w:eastAsia="en-US"/>
        </w:rPr>
        <w:commentReference w:id="6"/>
      </w:r>
    </w:p>
    <w:p w14:paraId="0DA9430C" w14:textId="6DFBDA61" w:rsidR="006E4EBA" w:rsidRPr="00D74466" w:rsidRDefault="00AC6758" w:rsidP="003D5125">
      <w:pPr>
        <w:pStyle w:val="NormalWeb"/>
        <w:spacing w:line="276" w:lineRule="auto"/>
        <w:jc w:val="both"/>
        <w:rPr>
          <w:rFonts w:ascii="Arial" w:hAnsi="Arial" w:cs="Arial"/>
          <w:sz w:val="21"/>
          <w:szCs w:val="21"/>
        </w:rPr>
      </w:pPr>
      <w:r w:rsidRPr="00D74466">
        <w:rPr>
          <w:rFonts w:ascii="Arial" w:hAnsi="Arial" w:cs="Arial"/>
          <w:sz w:val="21"/>
          <w:szCs w:val="21"/>
        </w:rPr>
        <w:t xml:space="preserve">This proposal seems </w:t>
      </w:r>
      <w:r w:rsidR="000D40CC" w:rsidRPr="00D74466">
        <w:rPr>
          <w:rFonts w:ascii="Arial" w:hAnsi="Arial" w:cs="Arial"/>
          <w:sz w:val="21"/>
          <w:szCs w:val="21"/>
        </w:rPr>
        <w:t xml:space="preserve">simplistic </w:t>
      </w:r>
      <w:r w:rsidRPr="00D74466">
        <w:rPr>
          <w:rFonts w:ascii="Arial" w:hAnsi="Arial" w:cs="Arial"/>
          <w:sz w:val="21"/>
          <w:szCs w:val="21"/>
        </w:rPr>
        <w:t>considering the benefit that storage provide</w:t>
      </w:r>
      <w:r w:rsidR="009255DA">
        <w:rPr>
          <w:rFonts w:ascii="Arial" w:hAnsi="Arial" w:cs="Arial"/>
          <w:sz w:val="21"/>
          <w:szCs w:val="21"/>
        </w:rPr>
        <w:t>s</w:t>
      </w:r>
      <w:r w:rsidRPr="00D74466">
        <w:rPr>
          <w:rFonts w:ascii="Arial" w:hAnsi="Arial" w:cs="Arial"/>
          <w:sz w:val="21"/>
          <w:szCs w:val="21"/>
        </w:rPr>
        <w:t xml:space="preserve"> to the grid.</w:t>
      </w:r>
    </w:p>
    <w:p w14:paraId="38A70E5A" w14:textId="0535ED56" w:rsidR="006E4EBA" w:rsidRPr="00D74466" w:rsidRDefault="006E4EBA" w:rsidP="003D5125">
      <w:pPr>
        <w:spacing w:before="100" w:beforeAutospacing="1" w:after="100" w:afterAutospacing="1"/>
        <w:jc w:val="both"/>
        <w:rPr>
          <w:rFonts w:ascii="Arial" w:eastAsia="Times New Roman" w:hAnsi="Arial" w:cs="Arial"/>
          <w:sz w:val="21"/>
          <w:szCs w:val="21"/>
          <w:lang w:eastAsia="en-GB"/>
        </w:rPr>
      </w:pPr>
      <w:r w:rsidRPr="00D74466">
        <w:rPr>
          <w:rFonts w:ascii="Arial" w:eastAsia="Times New Roman" w:hAnsi="Arial" w:cs="Arial"/>
          <w:sz w:val="21"/>
          <w:szCs w:val="21"/>
          <w:lang w:eastAsia="en-GB"/>
        </w:rPr>
        <w:t xml:space="preserve">In the call for evidence </w:t>
      </w:r>
      <w:r w:rsidR="009255DA">
        <w:rPr>
          <w:rFonts w:ascii="Arial" w:eastAsia="Times New Roman" w:hAnsi="Arial" w:cs="Arial"/>
          <w:sz w:val="21"/>
          <w:szCs w:val="21"/>
          <w:lang w:eastAsia="en-GB"/>
        </w:rPr>
        <w:t>on</w:t>
      </w:r>
      <w:r w:rsidR="009255DA" w:rsidRPr="00D74466">
        <w:rPr>
          <w:rFonts w:ascii="Arial" w:eastAsia="Times New Roman" w:hAnsi="Arial" w:cs="Arial"/>
          <w:sz w:val="21"/>
          <w:szCs w:val="21"/>
          <w:lang w:eastAsia="en-GB"/>
        </w:rPr>
        <w:t xml:space="preserve"> </w:t>
      </w:r>
      <w:proofErr w:type="spellStart"/>
      <w:r w:rsidRPr="00D74466">
        <w:rPr>
          <w:rFonts w:ascii="Arial" w:eastAsia="Times New Roman" w:hAnsi="Arial" w:cs="Arial"/>
          <w:sz w:val="21"/>
          <w:szCs w:val="21"/>
          <w:lang w:eastAsia="en-GB"/>
        </w:rPr>
        <w:t>TNUoS</w:t>
      </w:r>
      <w:proofErr w:type="spellEnd"/>
      <w:r w:rsidRPr="00D74466">
        <w:rPr>
          <w:rFonts w:ascii="Arial" w:eastAsia="Times New Roman" w:hAnsi="Arial" w:cs="Arial"/>
          <w:sz w:val="21"/>
          <w:szCs w:val="21"/>
          <w:lang w:eastAsia="en-GB"/>
        </w:rPr>
        <w:t xml:space="preserve"> last year, Ofgem suggested that further work in respect of charging arrangements for storage of all sizes may be warranted in the context of its potential to provide solutions to network issues rather than to act solely as a wholesale market participant. We agree that network charging is a key factor to consider in the policy regime for the development of storage. It will be important that the charging regime appropriately reflect the value that these flex</w:t>
      </w:r>
      <w:r w:rsidR="008D4A34" w:rsidRPr="00D74466">
        <w:rPr>
          <w:rFonts w:ascii="Arial" w:eastAsia="Times New Roman" w:hAnsi="Arial" w:cs="Arial"/>
          <w:sz w:val="21"/>
          <w:szCs w:val="21"/>
          <w:lang w:eastAsia="en-GB"/>
        </w:rPr>
        <w:t xml:space="preserve">ible </w:t>
      </w:r>
      <w:r w:rsidRPr="00D74466">
        <w:rPr>
          <w:rFonts w:ascii="Arial" w:eastAsia="Times New Roman" w:hAnsi="Arial" w:cs="Arial"/>
          <w:sz w:val="21"/>
          <w:szCs w:val="21"/>
          <w:lang w:eastAsia="en-GB"/>
        </w:rPr>
        <w:t>resources provide to the electricity system, both as demand and generatio</w:t>
      </w:r>
      <w:r w:rsidR="008D4A34" w:rsidRPr="00D74466">
        <w:rPr>
          <w:rFonts w:ascii="Arial" w:eastAsia="Times New Roman" w:hAnsi="Arial" w:cs="Arial"/>
          <w:sz w:val="21"/>
          <w:szCs w:val="21"/>
          <w:lang w:eastAsia="en-GB"/>
        </w:rPr>
        <w:t>n for transmission and distribution level.</w:t>
      </w:r>
    </w:p>
    <w:p w14:paraId="7BDE6736" w14:textId="00DEB20B" w:rsidR="006E4EBA" w:rsidRPr="00D74466" w:rsidRDefault="006E4EBA" w:rsidP="003D5125">
      <w:pPr>
        <w:pStyle w:val="NormalWeb"/>
        <w:spacing w:line="276" w:lineRule="auto"/>
        <w:jc w:val="both"/>
        <w:rPr>
          <w:rFonts w:ascii="Arial" w:hAnsi="Arial" w:cs="Arial"/>
          <w:sz w:val="21"/>
          <w:szCs w:val="21"/>
        </w:rPr>
      </w:pPr>
      <w:r w:rsidRPr="00D74466">
        <w:rPr>
          <w:rFonts w:ascii="Arial" w:hAnsi="Arial" w:cs="Arial"/>
          <w:sz w:val="21"/>
          <w:szCs w:val="21"/>
        </w:rPr>
        <w:t>A critical function of</w:t>
      </w:r>
      <w:r w:rsidR="004D5118" w:rsidRPr="00D74466">
        <w:rPr>
          <w:rFonts w:ascii="Arial" w:hAnsi="Arial" w:cs="Arial"/>
          <w:sz w:val="21"/>
          <w:szCs w:val="21"/>
        </w:rPr>
        <w:t xml:space="preserve"> Large-Scale Long Duration Storage (LLES)</w:t>
      </w:r>
      <w:r w:rsidR="008D4A34" w:rsidRPr="00D74466">
        <w:rPr>
          <w:rFonts w:ascii="Arial" w:hAnsi="Arial" w:cs="Arial"/>
          <w:sz w:val="21"/>
          <w:szCs w:val="21"/>
        </w:rPr>
        <w:t xml:space="preserve"> at transmission</w:t>
      </w:r>
      <w:r w:rsidR="000162E6" w:rsidRPr="00D74466">
        <w:rPr>
          <w:rFonts w:ascii="Arial" w:hAnsi="Arial" w:cs="Arial"/>
          <w:sz w:val="21"/>
          <w:szCs w:val="21"/>
        </w:rPr>
        <w:t xml:space="preserve"> </w:t>
      </w:r>
      <w:r w:rsidRPr="00D74466">
        <w:rPr>
          <w:rFonts w:ascii="Arial" w:hAnsi="Arial" w:cs="Arial"/>
          <w:sz w:val="21"/>
          <w:szCs w:val="21"/>
        </w:rPr>
        <w:t xml:space="preserve">is to provide balancing and stability services to </w:t>
      </w:r>
      <w:r w:rsidR="004D5118" w:rsidRPr="00D74466">
        <w:rPr>
          <w:rFonts w:ascii="Arial" w:hAnsi="Arial" w:cs="Arial"/>
          <w:sz w:val="21"/>
          <w:szCs w:val="21"/>
        </w:rPr>
        <w:t xml:space="preserve">the </w:t>
      </w:r>
      <w:r w:rsidRPr="00D74466">
        <w:rPr>
          <w:rFonts w:ascii="Arial" w:hAnsi="Arial" w:cs="Arial"/>
          <w:sz w:val="21"/>
          <w:szCs w:val="21"/>
        </w:rPr>
        <w:t xml:space="preserve">market and network. LLES are not net MWh generators, but they are defined as generators and therefore the balancing and stability benefits (and cost savings from reduced network investment) are not reflected in the way their connection application to the grid is assessed. LLES is considered as just another generator and </w:t>
      </w:r>
      <w:r w:rsidR="009255DA">
        <w:rPr>
          <w:rFonts w:ascii="Arial" w:hAnsi="Arial" w:cs="Arial"/>
          <w:sz w:val="21"/>
          <w:szCs w:val="21"/>
        </w:rPr>
        <w:t>is</w:t>
      </w:r>
      <w:r w:rsidR="009255DA" w:rsidRPr="00D74466">
        <w:rPr>
          <w:rFonts w:ascii="Arial" w:hAnsi="Arial" w:cs="Arial"/>
          <w:sz w:val="21"/>
          <w:szCs w:val="21"/>
        </w:rPr>
        <w:t xml:space="preserve"> </w:t>
      </w:r>
      <w:r w:rsidRPr="00D74466">
        <w:rPr>
          <w:rFonts w:ascii="Arial" w:hAnsi="Arial" w:cs="Arial"/>
          <w:sz w:val="21"/>
          <w:szCs w:val="21"/>
        </w:rPr>
        <w:t xml:space="preserve">connected on </w:t>
      </w:r>
      <w:r w:rsidR="009255DA">
        <w:rPr>
          <w:rFonts w:ascii="Arial" w:hAnsi="Arial" w:cs="Arial"/>
          <w:sz w:val="21"/>
          <w:szCs w:val="21"/>
        </w:rPr>
        <w:t xml:space="preserve">a </w:t>
      </w:r>
      <w:r w:rsidRPr="00D74466">
        <w:rPr>
          <w:rFonts w:ascii="Arial" w:hAnsi="Arial" w:cs="Arial"/>
          <w:sz w:val="21"/>
          <w:szCs w:val="21"/>
        </w:rPr>
        <w:t xml:space="preserve">first come first served basis behind other generators. </w:t>
      </w:r>
      <w:r w:rsidR="004D5118" w:rsidRPr="00D74466">
        <w:rPr>
          <w:rFonts w:ascii="Arial" w:hAnsi="Arial" w:cs="Arial"/>
          <w:sz w:val="21"/>
          <w:szCs w:val="21"/>
        </w:rPr>
        <w:t>Storage technologies</w:t>
      </w:r>
      <w:r w:rsidRPr="00D74466">
        <w:rPr>
          <w:rFonts w:ascii="Arial" w:hAnsi="Arial" w:cs="Arial"/>
          <w:sz w:val="21"/>
          <w:szCs w:val="21"/>
        </w:rPr>
        <w:t xml:space="preserve"> can make a major contribution in facilitating a </w:t>
      </w:r>
      <w:r w:rsidRPr="00D74466">
        <w:rPr>
          <w:rFonts w:ascii="Arial" w:hAnsi="Arial" w:cs="Arial"/>
          <w:sz w:val="21"/>
          <w:szCs w:val="21"/>
        </w:rPr>
        <w:lastRenderedPageBreak/>
        <w:t>cost-effective transition to net-zero, by both enabling the rapid growth in variable wind and solar renewables and accelerating the displacement of fossil fuel generation</w:t>
      </w:r>
      <w:r w:rsidRPr="00D74466">
        <w:rPr>
          <w:rFonts w:ascii="Arial" w:hAnsi="Arial" w:cs="Arial"/>
          <w:sz w:val="21"/>
          <w:szCs w:val="21"/>
          <w:vertAlign w:val="superscript"/>
        </w:rPr>
        <w:footnoteReference w:id="1"/>
      </w:r>
      <w:r w:rsidRPr="00D74466">
        <w:rPr>
          <w:rFonts w:ascii="Arial" w:hAnsi="Arial" w:cs="Arial"/>
          <w:sz w:val="21"/>
          <w:szCs w:val="21"/>
        </w:rPr>
        <w:t xml:space="preserve">. </w:t>
      </w:r>
    </w:p>
    <w:p w14:paraId="57FE7088" w14:textId="3F0D7580" w:rsidR="00AC6758" w:rsidRPr="00D74466" w:rsidRDefault="006E4EBA" w:rsidP="003D5125">
      <w:pPr>
        <w:pStyle w:val="NormalWeb"/>
        <w:spacing w:line="276" w:lineRule="auto"/>
        <w:jc w:val="both"/>
        <w:rPr>
          <w:rFonts w:ascii="Arial" w:hAnsi="Arial" w:cs="Arial"/>
          <w:sz w:val="21"/>
          <w:szCs w:val="21"/>
        </w:rPr>
      </w:pPr>
      <w:r w:rsidRPr="00D74466">
        <w:rPr>
          <w:rFonts w:ascii="Arial" w:hAnsi="Arial" w:cs="Arial"/>
          <w:sz w:val="21"/>
          <w:szCs w:val="21"/>
        </w:rPr>
        <w:t xml:space="preserve">We consider that the flexibility and locational benefits of </w:t>
      </w:r>
      <w:r w:rsidR="004D5118" w:rsidRPr="00D74466">
        <w:rPr>
          <w:rFonts w:ascii="Arial" w:hAnsi="Arial" w:cs="Arial"/>
          <w:sz w:val="21"/>
          <w:szCs w:val="21"/>
        </w:rPr>
        <w:t>storage</w:t>
      </w:r>
      <w:r w:rsidRPr="00D74466">
        <w:rPr>
          <w:rFonts w:ascii="Arial" w:hAnsi="Arial" w:cs="Arial"/>
          <w:sz w:val="21"/>
          <w:szCs w:val="21"/>
        </w:rPr>
        <w:t xml:space="preserve"> should specifically be </w:t>
      </w:r>
      <w:proofErr w:type="gramStart"/>
      <w:r w:rsidRPr="00D74466">
        <w:rPr>
          <w:rFonts w:ascii="Arial" w:hAnsi="Arial" w:cs="Arial"/>
          <w:sz w:val="21"/>
          <w:szCs w:val="21"/>
        </w:rPr>
        <w:t>taken into account</w:t>
      </w:r>
      <w:proofErr w:type="gramEnd"/>
      <w:r w:rsidRPr="00D74466">
        <w:rPr>
          <w:rFonts w:ascii="Arial" w:hAnsi="Arial" w:cs="Arial"/>
          <w:sz w:val="21"/>
          <w:szCs w:val="21"/>
        </w:rPr>
        <w:t xml:space="preserve"> in the design of </w:t>
      </w:r>
      <w:r w:rsidR="004D5118" w:rsidRPr="00D74466">
        <w:rPr>
          <w:rFonts w:ascii="Arial" w:hAnsi="Arial" w:cs="Arial"/>
          <w:sz w:val="21"/>
          <w:szCs w:val="21"/>
        </w:rPr>
        <w:t>charging arrangements</w:t>
      </w:r>
      <w:r w:rsidRPr="00D74466">
        <w:rPr>
          <w:rFonts w:ascii="Arial" w:hAnsi="Arial" w:cs="Arial"/>
          <w:sz w:val="21"/>
          <w:szCs w:val="21"/>
        </w:rPr>
        <w:t>, recognising and thereby incentivising the value that these assets provide</w:t>
      </w:r>
      <w:r w:rsidR="004D5118" w:rsidRPr="00D74466">
        <w:rPr>
          <w:rFonts w:ascii="Arial" w:hAnsi="Arial" w:cs="Arial"/>
          <w:sz w:val="21"/>
          <w:szCs w:val="21"/>
        </w:rPr>
        <w:t xml:space="preserve"> </w:t>
      </w:r>
      <w:r w:rsidR="005C6577">
        <w:rPr>
          <w:rFonts w:ascii="Arial" w:hAnsi="Arial" w:cs="Arial"/>
          <w:sz w:val="21"/>
          <w:szCs w:val="21"/>
        </w:rPr>
        <w:t>at</w:t>
      </w:r>
      <w:r w:rsidR="004D5118" w:rsidRPr="00D74466">
        <w:rPr>
          <w:rFonts w:ascii="Arial" w:hAnsi="Arial" w:cs="Arial"/>
          <w:sz w:val="21"/>
          <w:szCs w:val="21"/>
        </w:rPr>
        <w:t xml:space="preserve"> distribution and transmission level</w:t>
      </w:r>
      <w:r w:rsidR="005C6577">
        <w:rPr>
          <w:rFonts w:ascii="Arial" w:hAnsi="Arial" w:cs="Arial"/>
          <w:sz w:val="21"/>
          <w:szCs w:val="21"/>
        </w:rPr>
        <w:t>s</w:t>
      </w:r>
      <w:r w:rsidR="004D5118" w:rsidRPr="00D74466">
        <w:rPr>
          <w:rFonts w:ascii="Arial" w:hAnsi="Arial" w:cs="Arial"/>
          <w:sz w:val="21"/>
          <w:szCs w:val="21"/>
        </w:rPr>
        <w:t>.</w:t>
      </w:r>
    </w:p>
    <w:p w14:paraId="09C79A46" w14:textId="225E29DA" w:rsidR="00D605BE" w:rsidRPr="00D74466" w:rsidRDefault="00075411"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D605BE" w:rsidRPr="00D74466">
        <w:rPr>
          <w:rFonts w:ascii="Arial" w:hAnsi="Arial" w:cs="Arial"/>
          <w:b/>
          <w:bCs/>
          <w:sz w:val="21"/>
          <w:szCs w:val="21"/>
        </w:rPr>
        <w:t>1.6</w:t>
      </w:r>
      <w:r w:rsidRPr="00D74466">
        <w:rPr>
          <w:rFonts w:ascii="Arial" w:hAnsi="Arial" w:cs="Arial"/>
          <w:b/>
          <w:bCs/>
          <w:sz w:val="21"/>
          <w:szCs w:val="21"/>
        </w:rPr>
        <w:t xml:space="preserve">: </w:t>
      </w:r>
    </w:p>
    <w:p w14:paraId="19CFD3A4" w14:textId="55524C27" w:rsidR="00075411" w:rsidRPr="00D74466" w:rsidRDefault="00D605BE"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w:t>
      </w:r>
      <w:r w:rsidR="00075411" w:rsidRPr="00D74466">
        <w:rPr>
          <w:rFonts w:ascii="Arial" w:hAnsi="Arial" w:cs="Arial"/>
          <w:b/>
          <w:bCs/>
          <w:sz w:val="21"/>
          <w:szCs w:val="21"/>
        </w:rPr>
        <w:t>o you agree with our proposals regarding the treatment of in-flight projects (</w:t>
      </w:r>
      <w:proofErr w:type="spellStart"/>
      <w:proofErr w:type="gramStart"/>
      <w:r w:rsidR="00075411" w:rsidRPr="00D74466">
        <w:rPr>
          <w:rFonts w:ascii="Arial" w:hAnsi="Arial" w:cs="Arial"/>
          <w:b/>
          <w:bCs/>
          <w:sz w:val="21"/>
          <w:szCs w:val="21"/>
        </w:rPr>
        <w:t>ie</w:t>
      </w:r>
      <w:proofErr w:type="spellEnd"/>
      <w:proofErr w:type="gramEnd"/>
      <w:r w:rsidR="00075411" w:rsidRPr="00D74466">
        <w:rPr>
          <w:rFonts w:ascii="Arial" w:hAnsi="Arial" w:cs="Arial"/>
          <w:b/>
          <w:bCs/>
          <w:sz w:val="21"/>
          <w:szCs w:val="21"/>
        </w:rPr>
        <w:t xml:space="preserve"> that they should not be permitted to reset their connection agreement and retain their</w:t>
      </w:r>
      <w:r w:rsidR="00ED6AC8" w:rsidRPr="00D74466">
        <w:rPr>
          <w:rFonts w:ascii="Arial" w:hAnsi="Arial" w:cs="Arial"/>
          <w:b/>
          <w:bCs/>
          <w:sz w:val="21"/>
          <w:szCs w:val="21"/>
        </w:rPr>
        <w:t xml:space="preserve"> </w:t>
      </w:r>
      <w:r w:rsidR="00075411" w:rsidRPr="00D74466">
        <w:rPr>
          <w:rFonts w:ascii="Arial" w:hAnsi="Arial" w:cs="Arial"/>
          <w:b/>
          <w:bCs/>
          <w:sz w:val="21"/>
          <w:szCs w:val="21"/>
        </w:rPr>
        <w:t>position in the queue), noting they retain the right to terminate and reapply from 1 April 2023 should they wish to be treated under the proposed connection charging boundary?</w:t>
      </w:r>
    </w:p>
    <w:p w14:paraId="5D84B70F" w14:textId="707A5BD2" w:rsidR="00F97341" w:rsidRPr="00D74466" w:rsidRDefault="00F97341" w:rsidP="003D5125">
      <w:pPr>
        <w:pStyle w:val="NormalWeb"/>
        <w:spacing w:line="276" w:lineRule="auto"/>
        <w:jc w:val="both"/>
        <w:rPr>
          <w:rFonts w:ascii="Arial" w:hAnsi="Arial" w:cs="Arial"/>
          <w:sz w:val="21"/>
          <w:szCs w:val="21"/>
        </w:rPr>
      </w:pPr>
      <w:commentRangeStart w:id="7"/>
      <w:r w:rsidRPr="00D74466">
        <w:rPr>
          <w:rFonts w:ascii="Arial" w:hAnsi="Arial" w:cs="Arial"/>
          <w:sz w:val="21"/>
          <w:szCs w:val="21"/>
        </w:rPr>
        <w:t xml:space="preserve">Scottish </w:t>
      </w:r>
      <w:r w:rsidR="005C6577">
        <w:rPr>
          <w:rFonts w:ascii="Arial" w:hAnsi="Arial" w:cs="Arial"/>
          <w:sz w:val="21"/>
          <w:szCs w:val="21"/>
        </w:rPr>
        <w:t>R</w:t>
      </w:r>
      <w:r w:rsidRPr="00D74466">
        <w:rPr>
          <w:rFonts w:ascii="Arial" w:hAnsi="Arial" w:cs="Arial"/>
          <w:sz w:val="21"/>
          <w:szCs w:val="21"/>
        </w:rPr>
        <w:t>enewables agrees with this proposal.</w:t>
      </w:r>
      <w:commentRangeEnd w:id="7"/>
      <w:r w:rsidRPr="00D74466">
        <w:rPr>
          <w:rStyle w:val="CommentReference"/>
          <w:rFonts w:ascii="Arial" w:eastAsiaTheme="minorHAnsi" w:hAnsi="Arial" w:cs="Arial"/>
          <w:sz w:val="21"/>
          <w:szCs w:val="21"/>
          <w:lang w:eastAsia="en-US"/>
        </w:rPr>
        <w:commentReference w:id="7"/>
      </w:r>
      <w:r w:rsidRPr="00D74466">
        <w:rPr>
          <w:rFonts w:ascii="Arial" w:hAnsi="Arial" w:cs="Arial"/>
          <w:sz w:val="21"/>
          <w:szCs w:val="21"/>
        </w:rPr>
        <w:t xml:space="preserve"> However, we would like to note that Ofgem is not including any compensation for projects that </w:t>
      </w:r>
      <w:r w:rsidR="00147140" w:rsidRPr="00D74466">
        <w:rPr>
          <w:rFonts w:ascii="Arial" w:hAnsi="Arial" w:cs="Arial"/>
          <w:sz w:val="21"/>
          <w:szCs w:val="21"/>
        </w:rPr>
        <w:t xml:space="preserve">have paid for expanding capacity and </w:t>
      </w:r>
      <w:r w:rsidR="00254AB9" w:rsidRPr="00D74466">
        <w:rPr>
          <w:rFonts w:ascii="Arial" w:hAnsi="Arial" w:cs="Arial"/>
          <w:sz w:val="21"/>
          <w:szCs w:val="21"/>
        </w:rPr>
        <w:t>that are now</w:t>
      </w:r>
      <w:r w:rsidR="00147140" w:rsidRPr="00D74466">
        <w:rPr>
          <w:rFonts w:ascii="Arial" w:hAnsi="Arial" w:cs="Arial"/>
          <w:sz w:val="21"/>
          <w:szCs w:val="21"/>
        </w:rPr>
        <w:t xml:space="preserve"> going to be subject to </w:t>
      </w:r>
      <w:proofErr w:type="spellStart"/>
      <w:r w:rsidR="00147140" w:rsidRPr="00D74466">
        <w:rPr>
          <w:rFonts w:ascii="Arial" w:hAnsi="Arial" w:cs="Arial"/>
          <w:sz w:val="21"/>
          <w:szCs w:val="21"/>
        </w:rPr>
        <w:t>DUoS</w:t>
      </w:r>
      <w:proofErr w:type="spellEnd"/>
      <w:r w:rsidR="00147140" w:rsidRPr="00D74466">
        <w:rPr>
          <w:rFonts w:ascii="Arial" w:hAnsi="Arial" w:cs="Arial"/>
          <w:sz w:val="21"/>
          <w:szCs w:val="21"/>
        </w:rPr>
        <w:t xml:space="preserve"> as well</w:t>
      </w:r>
      <w:r w:rsidR="00F80E1A" w:rsidRPr="00D74466">
        <w:rPr>
          <w:rFonts w:ascii="Arial" w:hAnsi="Arial" w:cs="Arial"/>
          <w:sz w:val="21"/>
          <w:szCs w:val="21"/>
        </w:rPr>
        <w:t xml:space="preserve">. We believe </w:t>
      </w:r>
      <w:r w:rsidR="00E73CF9" w:rsidRPr="00D74466">
        <w:rPr>
          <w:rFonts w:ascii="Arial" w:hAnsi="Arial" w:cs="Arial"/>
          <w:sz w:val="21"/>
          <w:szCs w:val="21"/>
        </w:rPr>
        <w:t>it</w:t>
      </w:r>
      <w:r w:rsidR="00147140" w:rsidRPr="00D74466">
        <w:rPr>
          <w:rFonts w:ascii="Arial" w:hAnsi="Arial" w:cs="Arial"/>
          <w:sz w:val="21"/>
          <w:szCs w:val="21"/>
        </w:rPr>
        <w:t xml:space="preserve"> </w:t>
      </w:r>
      <w:r w:rsidR="00271A87" w:rsidRPr="00D74466">
        <w:rPr>
          <w:rFonts w:ascii="Arial" w:hAnsi="Arial" w:cs="Arial"/>
          <w:sz w:val="21"/>
          <w:szCs w:val="21"/>
        </w:rPr>
        <w:t xml:space="preserve">is unfair </w:t>
      </w:r>
      <w:r w:rsidR="00147140" w:rsidRPr="00D74466">
        <w:rPr>
          <w:rFonts w:ascii="Arial" w:hAnsi="Arial" w:cs="Arial"/>
          <w:sz w:val="21"/>
          <w:szCs w:val="21"/>
        </w:rPr>
        <w:t>to charg</w:t>
      </w:r>
      <w:r w:rsidR="00271A87" w:rsidRPr="00D74466">
        <w:rPr>
          <w:rFonts w:ascii="Arial" w:hAnsi="Arial" w:cs="Arial"/>
          <w:sz w:val="21"/>
          <w:szCs w:val="21"/>
        </w:rPr>
        <w:t xml:space="preserve">e </w:t>
      </w:r>
      <w:r w:rsidR="00147140" w:rsidRPr="00D74466">
        <w:rPr>
          <w:rFonts w:ascii="Arial" w:hAnsi="Arial" w:cs="Arial"/>
          <w:sz w:val="21"/>
          <w:szCs w:val="21"/>
        </w:rPr>
        <w:t>generators twice</w:t>
      </w:r>
      <w:r w:rsidR="00F80E1A" w:rsidRPr="00D74466">
        <w:rPr>
          <w:rFonts w:ascii="Arial" w:hAnsi="Arial" w:cs="Arial"/>
          <w:sz w:val="21"/>
          <w:szCs w:val="21"/>
        </w:rPr>
        <w:t xml:space="preserve">. </w:t>
      </w:r>
      <w:r w:rsidR="00F40AA8" w:rsidRPr="00D74466">
        <w:rPr>
          <w:rFonts w:ascii="Arial" w:hAnsi="Arial" w:cs="Arial"/>
          <w:sz w:val="21"/>
          <w:szCs w:val="21"/>
        </w:rPr>
        <w:t xml:space="preserve">In the past, when we moved from deep to </w:t>
      </w:r>
      <w:proofErr w:type="spellStart"/>
      <w:r w:rsidR="00F40AA8" w:rsidRPr="00D74466">
        <w:rPr>
          <w:rFonts w:ascii="Arial" w:hAnsi="Arial" w:cs="Arial"/>
          <w:sz w:val="21"/>
          <w:szCs w:val="21"/>
        </w:rPr>
        <w:t>s</w:t>
      </w:r>
      <w:r w:rsidR="00254AB9" w:rsidRPr="00D74466">
        <w:rPr>
          <w:rFonts w:ascii="Arial" w:hAnsi="Arial" w:cs="Arial"/>
          <w:sz w:val="21"/>
          <w:szCs w:val="21"/>
        </w:rPr>
        <w:t>h</w:t>
      </w:r>
      <w:r w:rsidR="00F40AA8" w:rsidRPr="00D74466">
        <w:rPr>
          <w:rFonts w:ascii="Arial" w:hAnsi="Arial" w:cs="Arial"/>
          <w:sz w:val="21"/>
          <w:szCs w:val="21"/>
        </w:rPr>
        <w:t>allow</w:t>
      </w:r>
      <w:r w:rsidR="00254AB9" w:rsidRPr="00D74466">
        <w:rPr>
          <w:rFonts w:ascii="Arial" w:hAnsi="Arial" w:cs="Arial"/>
          <w:sz w:val="21"/>
          <w:szCs w:val="21"/>
        </w:rPr>
        <w:t>ish</w:t>
      </w:r>
      <w:proofErr w:type="spellEnd"/>
      <w:r w:rsidR="00F40AA8" w:rsidRPr="00D74466">
        <w:rPr>
          <w:rFonts w:ascii="Arial" w:hAnsi="Arial" w:cs="Arial"/>
          <w:sz w:val="21"/>
          <w:szCs w:val="21"/>
        </w:rPr>
        <w:t xml:space="preserve"> distribution connection charges, there was recognition that generators should not pay for reinforcement twice, leading to a </w:t>
      </w:r>
      <w:proofErr w:type="spellStart"/>
      <w:r w:rsidR="00F40AA8" w:rsidRPr="00D74466">
        <w:rPr>
          <w:rFonts w:ascii="Arial" w:hAnsi="Arial" w:cs="Arial"/>
          <w:sz w:val="21"/>
          <w:szCs w:val="21"/>
        </w:rPr>
        <w:t>DUoS</w:t>
      </w:r>
      <w:proofErr w:type="spellEnd"/>
      <w:r w:rsidR="00F40AA8" w:rsidRPr="00D74466">
        <w:rPr>
          <w:rFonts w:ascii="Arial" w:hAnsi="Arial" w:cs="Arial"/>
          <w:sz w:val="21"/>
          <w:szCs w:val="21"/>
        </w:rPr>
        <w:t xml:space="preserve"> exemption. We believe this precedent should </w:t>
      </w:r>
      <w:r w:rsidR="005C6577">
        <w:rPr>
          <w:rFonts w:ascii="Arial" w:hAnsi="Arial" w:cs="Arial"/>
          <w:sz w:val="21"/>
          <w:szCs w:val="21"/>
        </w:rPr>
        <w:t xml:space="preserve">also </w:t>
      </w:r>
      <w:r w:rsidR="00E73CF9" w:rsidRPr="00D74466">
        <w:rPr>
          <w:rFonts w:ascii="Arial" w:hAnsi="Arial" w:cs="Arial"/>
          <w:sz w:val="21"/>
          <w:szCs w:val="21"/>
        </w:rPr>
        <w:t xml:space="preserve">apply </w:t>
      </w:r>
      <w:r w:rsidR="005C6577">
        <w:rPr>
          <w:rFonts w:ascii="Arial" w:hAnsi="Arial" w:cs="Arial"/>
          <w:sz w:val="21"/>
          <w:szCs w:val="21"/>
        </w:rPr>
        <w:t>in this situation</w:t>
      </w:r>
      <w:r w:rsidR="00F40AA8" w:rsidRPr="00D74466">
        <w:rPr>
          <w:rFonts w:ascii="Arial" w:hAnsi="Arial" w:cs="Arial"/>
          <w:sz w:val="21"/>
          <w:szCs w:val="21"/>
        </w:rPr>
        <w:t>.</w:t>
      </w:r>
    </w:p>
    <w:p w14:paraId="3F71DF2B" w14:textId="7ACCEE3D" w:rsidR="00D605BE" w:rsidRPr="00D74466" w:rsidRDefault="00075411"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D605BE" w:rsidRPr="00D74466">
        <w:rPr>
          <w:rFonts w:ascii="Arial" w:hAnsi="Arial" w:cs="Arial"/>
          <w:b/>
          <w:bCs/>
          <w:sz w:val="21"/>
          <w:szCs w:val="21"/>
        </w:rPr>
        <w:t>1.7</w:t>
      </w:r>
      <w:r w:rsidRPr="00D74466">
        <w:rPr>
          <w:rFonts w:ascii="Arial" w:hAnsi="Arial" w:cs="Arial"/>
          <w:b/>
          <w:bCs/>
          <w:sz w:val="21"/>
          <w:szCs w:val="21"/>
        </w:rPr>
        <w:t xml:space="preserve">: </w:t>
      </w:r>
    </w:p>
    <w:p w14:paraId="6227C34F" w14:textId="23A0B1CC" w:rsidR="00075411" w:rsidRPr="00D74466" w:rsidRDefault="00075411"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you agree with our proposals to retain the existing arrangements for managing interactive applications? Do you agree with our proposals on the treatment of unsuccessful applicants (that the connection charges at original application date will continue to apply if queue position is retained)?</w:t>
      </w:r>
    </w:p>
    <w:p w14:paraId="5D76D366" w14:textId="26C13545" w:rsidR="00F80E1A" w:rsidRPr="00D74466" w:rsidRDefault="00F80E1A" w:rsidP="003D5125">
      <w:pPr>
        <w:pStyle w:val="NormalWeb"/>
        <w:spacing w:line="276" w:lineRule="auto"/>
        <w:jc w:val="both"/>
        <w:rPr>
          <w:rFonts w:ascii="Arial" w:hAnsi="Arial" w:cs="Arial"/>
          <w:sz w:val="21"/>
          <w:szCs w:val="21"/>
        </w:rPr>
      </w:pPr>
      <w:r w:rsidRPr="00D74466">
        <w:rPr>
          <w:rFonts w:ascii="Arial" w:hAnsi="Arial" w:cs="Arial"/>
          <w:sz w:val="21"/>
          <w:szCs w:val="21"/>
        </w:rPr>
        <w:t>No comments</w:t>
      </w:r>
    </w:p>
    <w:p w14:paraId="1F745528" w14:textId="77938F35" w:rsidR="00D605BE" w:rsidRPr="00D74466" w:rsidRDefault="00075411"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D605BE" w:rsidRPr="00D74466">
        <w:rPr>
          <w:rFonts w:ascii="Arial" w:hAnsi="Arial" w:cs="Arial"/>
          <w:b/>
          <w:bCs/>
          <w:sz w:val="21"/>
          <w:szCs w:val="21"/>
        </w:rPr>
        <w:t>1.8</w:t>
      </w:r>
      <w:r w:rsidRPr="00D74466">
        <w:rPr>
          <w:rFonts w:ascii="Arial" w:hAnsi="Arial" w:cs="Arial"/>
          <w:b/>
          <w:bCs/>
          <w:sz w:val="21"/>
          <w:szCs w:val="21"/>
        </w:rPr>
        <w:t xml:space="preserve">: </w:t>
      </w:r>
    </w:p>
    <w:p w14:paraId="479A34E5" w14:textId="61F3620E" w:rsidR="00075411" w:rsidRPr="00D74466" w:rsidRDefault="00075411"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you agree with continuing with the definition of the Minimum Scheme as currently set out in the CCCM? Do you believe this definition requires any further clarification or amendment, and if so, why?</w:t>
      </w:r>
    </w:p>
    <w:p w14:paraId="40D24FEE" w14:textId="22C55BF8" w:rsidR="005F09C9" w:rsidRPr="00D74466" w:rsidRDefault="005F09C9" w:rsidP="003D5125">
      <w:pPr>
        <w:pStyle w:val="NormalWeb"/>
        <w:spacing w:line="276" w:lineRule="auto"/>
        <w:jc w:val="both"/>
        <w:rPr>
          <w:rFonts w:ascii="Arial" w:hAnsi="Arial" w:cs="Arial"/>
          <w:sz w:val="21"/>
          <w:szCs w:val="21"/>
        </w:rPr>
      </w:pPr>
      <w:commentRangeStart w:id="8"/>
      <w:r w:rsidRPr="00D74466">
        <w:rPr>
          <w:rFonts w:ascii="Arial" w:hAnsi="Arial" w:cs="Arial"/>
          <w:sz w:val="21"/>
          <w:szCs w:val="21"/>
        </w:rPr>
        <w:t xml:space="preserve">Scottish Renewables </w:t>
      </w:r>
      <w:r w:rsidR="00837A0B" w:rsidRPr="00D74466">
        <w:rPr>
          <w:rFonts w:ascii="Arial" w:hAnsi="Arial" w:cs="Arial"/>
          <w:sz w:val="21"/>
          <w:szCs w:val="21"/>
        </w:rPr>
        <w:t>mostly</w:t>
      </w:r>
      <w:r w:rsidRPr="00D74466">
        <w:rPr>
          <w:rFonts w:ascii="Arial" w:hAnsi="Arial" w:cs="Arial"/>
          <w:sz w:val="21"/>
          <w:szCs w:val="21"/>
        </w:rPr>
        <w:t xml:space="preserve"> agrees with the definition of the Minimum Scheme as currently set out in the Common Connection Charging Methodology (CCCM).</w:t>
      </w:r>
    </w:p>
    <w:p w14:paraId="036707C0" w14:textId="1D973E31" w:rsidR="005F09C9" w:rsidRPr="00D74466" w:rsidRDefault="00D27410" w:rsidP="003D5125">
      <w:pPr>
        <w:pStyle w:val="NormalWeb"/>
        <w:spacing w:line="276" w:lineRule="auto"/>
        <w:jc w:val="both"/>
        <w:rPr>
          <w:rFonts w:ascii="Arial" w:hAnsi="Arial" w:cs="Arial"/>
          <w:sz w:val="21"/>
          <w:szCs w:val="21"/>
        </w:rPr>
      </w:pPr>
      <w:commentRangeStart w:id="9"/>
      <w:r w:rsidRPr="00D74466">
        <w:rPr>
          <w:rFonts w:ascii="Arial" w:hAnsi="Arial" w:cs="Arial"/>
          <w:sz w:val="21"/>
          <w:szCs w:val="21"/>
        </w:rPr>
        <w:t xml:space="preserve">However, we </w:t>
      </w:r>
      <w:r w:rsidR="00271A87" w:rsidRPr="00D74466">
        <w:rPr>
          <w:rFonts w:ascii="Arial" w:hAnsi="Arial" w:cs="Arial"/>
          <w:sz w:val="21"/>
          <w:szCs w:val="21"/>
        </w:rPr>
        <w:t>think</w:t>
      </w:r>
      <w:r w:rsidRPr="00D74466">
        <w:rPr>
          <w:rFonts w:ascii="Arial" w:hAnsi="Arial" w:cs="Arial"/>
          <w:sz w:val="21"/>
          <w:szCs w:val="21"/>
        </w:rPr>
        <w:t xml:space="preserve"> it </w:t>
      </w:r>
      <w:r w:rsidR="005C6577">
        <w:rPr>
          <w:rFonts w:ascii="Arial" w:hAnsi="Arial" w:cs="Arial"/>
          <w:sz w:val="21"/>
          <w:szCs w:val="21"/>
        </w:rPr>
        <w:t>is</w:t>
      </w:r>
      <w:r w:rsidRPr="00D74466">
        <w:rPr>
          <w:rFonts w:ascii="Arial" w:hAnsi="Arial" w:cs="Arial"/>
          <w:sz w:val="21"/>
          <w:szCs w:val="21"/>
        </w:rPr>
        <w:t xml:space="preserve"> important to analyse how the </w:t>
      </w:r>
      <w:r w:rsidR="00355CF9" w:rsidRPr="00D74466">
        <w:rPr>
          <w:rFonts w:ascii="Arial" w:hAnsi="Arial" w:cs="Arial"/>
          <w:sz w:val="21"/>
          <w:szCs w:val="21"/>
        </w:rPr>
        <w:t xml:space="preserve">Minimum Scheme in the </w:t>
      </w:r>
      <w:r w:rsidRPr="00D74466">
        <w:rPr>
          <w:rFonts w:ascii="Arial" w:hAnsi="Arial" w:cs="Arial"/>
          <w:sz w:val="21"/>
          <w:szCs w:val="21"/>
        </w:rPr>
        <w:t>CCCM could help</w:t>
      </w:r>
      <w:r w:rsidR="005F09C9" w:rsidRPr="00D74466">
        <w:rPr>
          <w:rFonts w:ascii="Arial" w:hAnsi="Arial" w:cs="Arial"/>
          <w:sz w:val="21"/>
          <w:szCs w:val="21"/>
        </w:rPr>
        <w:t xml:space="preserve"> </w:t>
      </w:r>
      <w:r w:rsidRPr="00D74466">
        <w:rPr>
          <w:rFonts w:ascii="Arial" w:hAnsi="Arial" w:cs="Arial"/>
          <w:sz w:val="21"/>
          <w:szCs w:val="21"/>
        </w:rPr>
        <w:t>to</w:t>
      </w:r>
      <w:r w:rsidR="005F09C9" w:rsidRPr="00D74466">
        <w:rPr>
          <w:rFonts w:ascii="Arial" w:hAnsi="Arial" w:cs="Arial"/>
          <w:sz w:val="21"/>
          <w:szCs w:val="21"/>
        </w:rPr>
        <w:t xml:space="preserve"> anticipate investment. </w:t>
      </w:r>
      <w:r w:rsidRPr="00D74466">
        <w:rPr>
          <w:rFonts w:ascii="Arial" w:hAnsi="Arial" w:cs="Arial"/>
          <w:sz w:val="21"/>
          <w:szCs w:val="21"/>
        </w:rPr>
        <w:t xml:space="preserve">In the past, </w:t>
      </w:r>
      <w:r w:rsidR="00837A0B" w:rsidRPr="00D74466">
        <w:rPr>
          <w:rFonts w:ascii="Arial" w:hAnsi="Arial" w:cs="Arial"/>
          <w:sz w:val="21"/>
          <w:szCs w:val="21"/>
        </w:rPr>
        <w:t xml:space="preserve">any action needed has been set out when </w:t>
      </w:r>
      <w:r w:rsidR="00B91FAA" w:rsidRPr="00D74466">
        <w:rPr>
          <w:rFonts w:ascii="Arial" w:hAnsi="Arial" w:cs="Arial"/>
          <w:sz w:val="21"/>
          <w:szCs w:val="21"/>
        </w:rPr>
        <w:t>a connectee trigger</w:t>
      </w:r>
      <w:r w:rsidR="00254AB9" w:rsidRPr="00D74466">
        <w:rPr>
          <w:rFonts w:ascii="Arial" w:hAnsi="Arial" w:cs="Arial"/>
          <w:sz w:val="21"/>
          <w:szCs w:val="21"/>
        </w:rPr>
        <w:t>s</w:t>
      </w:r>
      <w:r w:rsidR="00B91FAA" w:rsidRPr="00D74466">
        <w:rPr>
          <w:rFonts w:ascii="Arial" w:hAnsi="Arial" w:cs="Arial"/>
          <w:sz w:val="21"/>
          <w:szCs w:val="21"/>
        </w:rPr>
        <w:t xml:space="preserve"> a reinforcement</w:t>
      </w:r>
      <w:r w:rsidR="00837A0B" w:rsidRPr="00D74466">
        <w:rPr>
          <w:rFonts w:ascii="Arial" w:hAnsi="Arial" w:cs="Arial"/>
          <w:sz w:val="21"/>
          <w:szCs w:val="21"/>
        </w:rPr>
        <w:t xml:space="preserve">, and it seems that Ofgem is not changing that way </w:t>
      </w:r>
      <w:r w:rsidR="00254AB9" w:rsidRPr="00D74466">
        <w:rPr>
          <w:rFonts w:ascii="Arial" w:hAnsi="Arial" w:cs="Arial"/>
          <w:sz w:val="21"/>
          <w:szCs w:val="21"/>
        </w:rPr>
        <w:t>of working</w:t>
      </w:r>
      <w:r w:rsidR="00837A0B" w:rsidRPr="00D74466">
        <w:rPr>
          <w:rFonts w:ascii="Arial" w:hAnsi="Arial" w:cs="Arial"/>
          <w:sz w:val="21"/>
          <w:szCs w:val="21"/>
        </w:rPr>
        <w:t>. We believe that with net</w:t>
      </w:r>
      <w:r w:rsidR="005C6577">
        <w:rPr>
          <w:rFonts w:ascii="Arial" w:hAnsi="Arial" w:cs="Arial"/>
          <w:sz w:val="21"/>
          <w:szCs w:val="21"/>
        </w:rPr>
        <w:t>-</w:t>
      </w:r>
      <w:r w:rsidR="00837A0B" w:rsidRPr="00D74466">
        <w:rPr>
          <w:rFonts w:ascii="Arial" w:hAnsi="Arial" w:cs="Arial"/>
          <w:sz w:val="21"/>
          <w:szCs w:val="21"/>
        </w:rPr>
        <w:t xml:space="preserve">zero and all the electricity that will come from renewables by the 2030s, it is time to move on </w:t>
      </w:r>
      <w:r w:rsidR="00B639F7" w:rsidRPr="00D74466">
        <w:rPr>
          <w:rFonts w:ascii="Arial" w:hAnsi="Arial" w:cs="Arial"/>
          <w:sz w:val="21"/>
          <w:szCs w:val="21"/>
        </w:rPr>
        <w:t>to a regulatory framework that help</w:t>
      </w:r>
      <w:r w:rsidR="00355CF9" w:rsidRPr="00D74466">
        <w:rPr>
          <w:rFonts w:ascii="Arial" w:hAnsi="Arial" w:cs="Arial"/>
          <w:sz w:val="21"/>
          <w:szCs w:val="21"/>
        </w:rPr>
        <w:t>s</w:t>
      </w:r>
      <w:r w:rsidR="00B639F7" w:rsidRPr="00D74466">
        <w:rPr>
          <w:rFonts w:ascii="Arial" w:hAnsi="Arial" w:cs="Arial"/>
          <w:sz w:val="21"/>
          <w:szCs w:val="21"/>
        </w:rPr>
        <w:t xml:space="preserve"> to anticipate investment ahead of need.</w:t>
      </w:r>
      <w:commentRangeEnd w:id="8"/>
      <w:r w:rsidR="00355CF9" w:rsidRPr="00D74466">
        <w:rPr>
          <w:rStyle w:val="CommentReference"/>
          <w:rFonts w:ascii="Arial" w:eastAsiaTheme="minorHAnsi" w:hAnsi="Arial" w:cs="Arial"/>
          <w:sz w:val="21"/>
          <w:szCs w:val="21"/>
          <w:lang w:eastAsia="en-US"/>
        </w:rPr>
        <w:commentReference w:id="8"/>
      </w:r>
      <w:commentRangeEnd w:id="9"/>
      <w:r w:rsidR="00B463E3" w:rsidRPr="00D74466">
        <w:rPr>
          <w:rStyle w:val="CommentReference"/>
          <w:rFonts w:ascii="Arial" w:eastAsiaTheme="minorHAnsi" w:hAnsi="Arial" w:cs="Arial"/>
          <w:sz w:val="21"/>
          <w:szCs w:val="21"/>
          <w:lang w:eastAsia="en-US"/>
        </w:rPr>
        <w:commentReference w:id="9"/>
      </w:r>
    </w:p>
    <w:p w14:paraId="37BD5801" w14:textId="39FA1685" w:rsidR="00D605BE" w:rsidRPr="00D74466" w:rsidRDefault="00075411" w:rsidP="003D5125">
      <w:pPr>
        <w:pStyle w:val="NormalWeb"/>
        <w:spacing w:line="276" w:lineRule="auto"/>
        <w:jc w:val="both"/>
        <w:rPr>
          <w:rFonts w:ascii="Arial" w:hAnsi="Arial" w:cs="Arial"/>
          <w:b/>
          <w:bCs/>
          <w:sz w:val="21"/>
          <w:szCs w:val="21"/>
        </w:rPr>
      </w:pPr>
      <w:commentRangeStart w:id="10"/>
      <w:r w:rsidRPr="00D74466">
        <w:rPr>
          <w:rFonts w:ascii="Arial" w:hAnsi="Arial" w:cs="Arial"/>
          <w:b/>
          <w:bCs/>
          <w:sz w:val="21"/>
          <w:szCs w:val="21"/>
        </w:rPr>
        <w:lastRenderedPageBreak/>
        <w:t xml:space="preserve">Question </w:t>
      </w:r>
      <w:r w:rsidR="00D605BE" w:rsidRPr="00D74466">
        <w:rPr>
          <w:rFonts w:ascii="Arial" w:hAnsi="Arial" w:cs="Arial"/>
          <w:b/>
          <w:bCs/>
          <w:sz w:val="21"/>
          <w:szCs w:val="21"/>
        </w:rPr>
        <w:t>1.9</w:t>
      </w:r>
      <w:r w:rsidRPr="00D74466">
        <w:rPr>
          <w:rFonts w:ascii="Arial" w:hAnsi="Arial" w:cs="Arial"/>
          <w:b/>
          <w:bCs/>
          <w:sz w:val="21"/>
          <w:szCs w:val="21"/>
        </w:rPr>
        <w:t xml:space="preserve">: </w:t>
      </w:r>
    </w:p>
    <w:p w14:paraId="2A291EE2" w14:textId="5DAC1EB2" w:rsidR="00D605BE" w:rsidRPr="00D74466" w:rsidRDefault="00075411"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Are there any risks associated with our proposals to allow current non-firm connected customers to seek a firm connection following the changes proposed by our SCR? Do you agree that existing non-firm connected customers that do seek a firm connection should be processed through existing queue management processes as determined by DNOs?</w:t>
      </w:r>
    </w:p>
    <w:p w14:paraId="31740361" w14:textId="77777777" w:rsidR="00D605BE" w:rsidRPr="00D74466" w:rsidRDefault="00D605BE" w:rsidP="003D5125">
      <w:pPr>
        <w:pStyle w:val="NormalWeb"/>
        <w:spacing w:line="276" w:lineRule="auto"/>
        <w:jc w:val="both"/>
        <w:rPr>
          <w:rFonts w:ascii="Arial" w:hAnsi="Arial" w:cs="Arial"/>
          <w:sz w:val="21"/>
          <w:szCs w:val="21"/>
        </w:rPr>
      </w:pPr>
    </w:p>
    <w:p w14:paraId="15F38C4C" w14:textId="7AE6959E" w:rsidR="00D605BE"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D605BE" w:rsidRPr="00D74466">
        <w:rPr>
          <w:rFonts w:ascii="Arial" w:hAnsi="Arial" w:cs="Arial"/>
          <w:b/>
          <w:bCs/>
          <w:sz w:val="21"/>
          <w:szCs w:val="21"/>
        </w:rPr>
        <w:t>1.10</w:t>
      </w:r>
      <w:r w:rsidRPr="00D74466">
        <w:rPr>
          <w:rFonts w:ascii="Arial" w:hAnsi="Arial" w:cs="Arial"/>
          <w:b/>
          <w:bCs/>
          <w:sz w:val="21"/>
          <w:szCs w:val="21"/>
        </w:rPr>
        <w:t xml:space="preserve">: </w:t>
      </w:r>
    </w:p>
    <w:p w14:paraId="5F224320" w14:textId="4743FAA6"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How necessary do you consider Ofgem intervention in Electricity Distribution Standard Licence Conditions 12, 15 and 15A? What duration might such measures be needed, or acceptable, following 1 April 2023? What value do you place on certainty of connection timeframes compared with time to connect?</w:t>
      </w:r>
      <w:commentRangeEnd w:id="10"/>
      <w:r w:rsidR="00153EED" w:rsidRPr="00D74466">
        <w:rPr>
          <w:rStyle w:val="CommentReference"/>
          <w:rFonts w:ascii="Arial" w:eastAsiaTheme="minorHAnsi" w:hAnsi="Arial" w:cs="Arial"/>
          <w:b/>
          <w:bCs/>
          <w:sz w:val="21"/>
          <w:szCs w:val="21"/>
          <w:lang w:eastAsia="en-US"/>
        </w:rPr>
        <w:commentReference w:id="10"/>
      </w:r>
    </w:p>
    <w:p w14:paraId="4075FC77" w14:textId="7EC030E1" w:rsidR="00E82B6A" w:rsidRPr="00D74466" w:rsidRDefault="00E82B6A" w:rsidP="003D5125">
      <w:pPr>
        <w:pStyle w:val="NormalWeb"/>
        <w:numPr>
          <w:ilvl w:val="0"/>
          <w:numId w:val="2"/>
        </w:numPr>
        <w:spacing w:line="276" w:lineRule="auto"/>
        <w:jc w:val="both"/>
        <w:rPr>
          <w:rFonts w:ascii="Arial" w:hAnsi="Arial" w:cs="Arial"/>
          <w:b/>
          <w:bCs/>
          <w:sz w:val="21"/>
          <w:szCs w:val="21"/>
        </w:rPr>
      </w:pPr>
      <w:r w:rsidRPr="00D74466">
        <w:rPr>
          <w:rFonts w:ascii="Arial" w:hAnsi="Arial" w:cs="Arial"/>
          <w:b/>
          <w:bCs/>
          <w:sz w:val="21"/>
          <w:szCs w:val="21"/>
        </w:rPr>
        <w:t>Access rights</w:t>
      </w:r>
    </w:p>
    <w:p w14:paraId="54959523" w14:textId="77777777" w:rsidR="00632C10"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632C10" w:rsidRPr="00D74466">
        <w:rPr>
          <w:rFonts w:ascii="Arial" w:hAnsi="Arial" w:cs="Arial"/>
          <w:b/>
          <w:bCs/>
          <w:sz w:val="21"/>
          <w:szCs w:val="21"/>
        </w:rPr>
        <w:t>2.1</w:t>
      </w:r>
      <w:r w:rsidRPr="00D74466">
        <w:rPr>
          <w:rFonts w:ascii="Arial" w:hAnsi="Arial" w:cs="Arial"/>
          <w:b/>
          <w:bCs/>
          <w:sz w:val="21"/>
          <w:szCs w:val="21"/>
        </w:rPr>
        <w:t xml:space="preserve">: </w:t>
      </w:r>
    </w:p>
    <w:p w14:paraId="6FCD21EC" w14:textId="568C2CA8"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you agree with our proposal to exclude customer interruptions and transmission constraints from the definition of curtailment with respect to distribution network access arrangements?</w:t>
      </w:r>
    </w:p>
    <w:p w14:paraId="513D29ED" w14:textId="5A26AA29" w:rsidR="00153EED" w:rsidRPr="00D74466" w:rsidRDefault="0028584B" w:rsidP="003D5125">
      <w:pPr>
        <w:pStyle w:val="NormalWeb"/>
        <w:spacing w:line="276" w:lineRule="auto"/>
        <w:jc w:val="both"/>
        <w:rPr>
          <w:rFonts w:ascii="Arial" w:hAnsi="Arial" w:cs="Arial"/>
          <w:sz w:val="21"/>
          <w:szCs w:val="21"/>
        </w:rPr>
      </w:pPr>
      <w:r w:rsidRPr="00D74466">
        <w:rPr>
          <w:rFonts w:ascii="Arial" w:hAnsi="Arial" w:cs="Arial"/>
          <w:sz w:val="21"/>
          <w:szCs w:val="21"/>
        </w:rPr>
        <w:t>We disagree with e</w:t>
      </w:r>
      <w:r w:rsidR="00624841" w:rsidRPr="00D74466">
        <w:rPr>
          <w:rFonts w:ascii="Arial" w:hAnsi="Arial" w:cs="Arial"/>
          <w:sz w:val="21"/>
          <w:szCs w:val="21"/>
        </w:rPr>
        <w:t>xcluding c</w:t>
      </w:r>
      <w:r w:rsidR="00153EED" w:rsidRPr="00D74466">
        <w:rPr>
          <w:rFonts w:ascii="Arial" w:hAnsi="Arial" w:cs="Arial"/>
          <w:sz w:val="21"/>
          <w:szCs w:val="21"/>
        </w:rPr>
        <w:t>ustomer interruptions</w:t>
      </w:r>
      <w:r w:rsidR="00624841" w:rsidRPr="00D74466">
        <w:rPr>
          <w:rFonts w:ascii="Arial" w:hAnsi="Arial" w:cs="Arial"/>
          <w:sz w:val="21"/>
          <w:szCs w:val="21"/>
        </w:rPr>
        <w:t xml:space="preserve"> from the definition of curtailment</w:t>
      </w:r>
      <w:r w:rsidRPr="00D74466">
        <w:rPr>
          <w:rFonts w:ascii="Arial" w:hAnsi="Arial" w:cs="Arial"/>
          <w:sz w:val="21"/>
          <w:szCs w:val="21"/>
        </w:rPr>
        <w:t>. Excluding customer interruptions</w:t>
      </w:r>
      <w:r w:rsidR="00624841" w:rsidRPr="00D74466">
        <w:rPr>
          <w:rFonts w:ascii="Arial" w:hAnsi="Arial" w:cs="Arial"/>
          <w:sz w:val="21"/>
          <w:szCs w:val="21"/>
        </w:rPr>
        <w:t xml:space="preserve"> mean</w:t>
      </w:r>
      <w:r w:rsidRPr="00D74466">
        <w:rPr>
          <w:rFonts w:ascii="Arial" w:hAnsi="Arial" w:cs="Arial"/>
          <w:sz w:val="21"/>
          <w:szCs w:val="21"/>
        </w:rPr>
        <w:t xml:space="preserve"> </w:t>
      </w:r>
      <w:r w:rsidR="00624841" w:rsidRPr="00D74466">
        <w:rPr>
          <w:rFonts w:ascii="Arial" w:hAnsi="Arial" w:cs="Arial"/>
          <w:sz w:val="21"/>
          <w:szCs w:val="21"/>
        </w:rPr>
        <w:t>that the DNOs are tak</w:t>
      </w:r>
      <w:r w:rsidR="00F1746F" w:rsidRPr="00D74466">
        <w:rPr>
          <w:rFonts w:ascii="Arial" w:hAnsi="Arial" w:cs="Arial"/>
          <w:sz w:val="21"/>
          <w:szCs w:val="21"/>
        </w:rPr>
        <w:t>ing</w:t>
      </w:r>
      <w:r w:rsidR="00624841" w:rsidRPr="00D74466">
        <w:rPr>
          <w:rFonts w:ascii="Arial" w:hAnsi="Arial" w:cs="Arial"/>
          <w:sz w:val="21"/>
          <w:szCs w:val="21"/>
        </w:rPr>
        <w:t xml:space="preserve"> no </w:t>
      </w:r>
      <w:r w:rsidR="00F1746F" w:rsidRPr="00D74466">
        <w:rPr>
          <w:rFonts w:ascii="Arial" w:hAnsi="Arial" w:cs="Arial"/>
          <w:sz w:val="21"/>
          <w:szCs w:val="21"/>
        </w:rPr>
        <w:t>responsibility</w:t>
      </w:r>
      <w:r w:rsidR="00624841" w:rsidRPr="00D74466">
        <w:rPr>
          <w:rFonts w:ascii="Arial" w:hAnsi="Arial" w:cs="Arial"/>
          <w:sz w:val="21"/>
          <w:szCs w:val="21"/>
        </w:rPr>
        <w:t xml:space="preserve"> to do anything about it</w:t>
      </w:r>
      <w:r w:rsidRPr="00D74466">
        <w:rPr>
          <w:rFonts w:ascii="Arial" w:hAnsi="Arial" w:cs="Arial"/>
          <w:sz w:val="21"/>
          <w:szCs w:val="21"/>
        </w:rPr>
        <w:t>,</w:t>
      </w:r>
      <w:r w:rsidR="00624841" w:rsidRPr="00D74466">
        <w:rPr>
          <w:rFonts w:ascii="Arial" w:hAnsi="Arial" w:cs="Arial"/>
          <w:sz w:val="21"/>
          <w:szCs w:val="21"/>
        </w:rPr>
        <w:t xml:space="preserve"> and generat</w:t>
      </w:r>
      <w:r w:rsidR="00254AB9" w:rsidRPr="00D74466">
        <w:rPr>
          <w:rFonts w:ascii="Arial" w:hAnsi="Arial" w:cs="Arial"/>
          <w:sz w:val="21"/>
          <w:szCs w:val="21"/>
        </w:rPr>
        <w:t>ors</w:t>
      </w:r>
      <w:r w:rsidR="00624841" w:rsidRPr="00D74466">
        <w:rPr>
          <w:rFonts w:ascii="Arial" w:hAnsi="Arial" w:cs="Arial"/>
          <w:sz w:val="21"/>
          <w:szCs w:val="21"/>
        </w:rPr>
        <w:t xml:space="preserve"> are </w:t>
      </w:r>
      <w:r w:rsidRPr="00D74466">
        <w:rPr>
          <w:rFonts w:ascii="Arial" w:hAnsi="Arial" w:cs="Arial"/>
          <w:sz w:val="21"/>
          <w:szCs w:val="21"/>
        </w:rPr>
        <w:t>continuing</w:t>
      </w:r>
      <w:r w:rsidR="00624841" w:rsidRPr="00D74466">
        <w:rPr>
          <w:rFonts w:ascii="Arial" w:hAnsi="Arial" w:cs="Arial"/>
          <w:sz w:val="21"/>
          <w:szCs w:val="21"/>
        </w:rPr>
        <w:t xml:space="preserve"> to face unjustified </w:t>
      </w:r>
      <w:r w:rsidR="00417E6A" w:rsidRPr="00D74466">
        <w:rPr>
          <w:rFonts w:ascii="Arial" w:hAnsi="Arial" w:cs="Arial"/>
          <w:sz w:val="21"/>
          <w:szCs w:val="21"/>
        </w:rPr>
        <w:t xml:space="preserve">and </w:t>
      </w:r>
      <w:r w:rsidRPr="00D74466">
        <w:rPr>
          <w:rFonts w:ascii="Arial" w:hAnsi="Arial" w:cs="Arial"/>
          <w:sz w:val="21"/>
          <w:szCs w:val="21"/>
        </w:rPr>
        <w:t>unquantified risks.</w:t>
      </w:r>
      <w:r w:rsidR="00624841" w:rsidRPr="00D74466">
        <w:rPr>
          <w:rFonts w:ascii="Arial" w:hAnsi="Arial" w:cs="Arial"/>
          <w:sz w:val="21"/>
          <w:szCs w:val="21"/>
        </w:rPr>
        <w:t xml:space="preserve"> </w:t>
      </w:r>
    </w:p>
    <w:p w14:paraId="06440D0B" w14:textId="4D6C43B8" w:rsidR="00F40AA8" w:rsidRPr="00D74466" w:rsidRDefault="00D431E9" w:rsidP="003D5125">
      <w:pPr>
        <w:pStyle w:val="NormalWeb"/>
        <w:spacing w:line="276" w:lineRule="auto"/>
        <w:jc w:val="both"/>
        <w:rPr>
          <w:rFonts w:ascii="Arial" w:hAnsi="Arial" w:cs="Arial"/>
          <w:sz w:val="21"/>
          <w:szCs w:val="21"/>
        </w:rPr>
      </w:pPr>
      <w:r w:rsidRPr="00D74466">
        <w:rPr>
          <w:rFonts w:ascii="Arial" w:hAnsi="Arial" w:cs="Arial"/>
          <w:sz w:val="21"/>
          <w:szCs w:val="21"/>
        </w:rPr>
        <w:t xml:space="preserve">We </w:t>
      </w:r>
      <w:r w:rsidR="0028584B" w:rsidRPr="00D74466">
        <w:rPr>
          <w:rFonts w:ascii="Arial" w:hAnsi="Arial" w:cs="Arial"/>
          <w:sz w:val="21"/>
          <w:szCs w:val="21"/>
        </w:rPr>
        <w:t xml:space="preserve">also </w:t>
      </w:r>
      <w:r w:rsidRPr="00D74466">
        <w:rPr>
          <w:rFonts w:ascii="Arial" w:hAnsi="Arial" w:cs="Arial"/>
          <w:sz w:val="21"/>
          <w:szCs w:val="21"/>
        </w:rPr>
        <w:t xml:space="preserve">disagree with excluding transmissions constraints </w:t>
      </w:r>
      <w:r w:rsidR="00B3787D" w:rsidRPr="00D74466">
        <w:rPr>
          <w:rFonts w:ascii="Arial" w:hAnsi="Arial" w:cs="Arial"/>
          <w:sz w:val="21"/>
          <w:szCs w:val="21"/>
        </w:rPr>
        <w:t>from the definition of curtailment. Although Ofgem says that</w:t>
      </w:r>
      <w:r w:rsidR="0028226A" w:rsidRPr="00D74466">
        <w:rPr>
          <w:rFonts w:ascii="Arial" w:hAnsi="Arial" w:cs="Arial"/>
          <w:sz w:val="21"/>
          <w:szCs w:val="21"/>
        </w:rPr>
        <w:t xml:space="preserve"> what happens with the</w:t>
      </w:r>
      <w:r w:rsidR="00B3787D" w:rsidRPr="00D74466">
        <w:rPr>
          <w:rFonts w:ascii="Arial" w:hAnsi="Arial" w:cs="Arial"/>
          <w:sz w:val="21"/>
          <w:szCs w:val="21"/>
        </w:rPr>
        <w:t xml:space="preserve"> </w:t>
      </w:r>
      <w:r w:rsidR="0028226A" w:rsidRPr="00D74466">
        <w:rPr>
          <w:rFonts w:ascii="Arial" w:hAnsi="Arial" w:cs="Arial"/>
          <w:sz w:val="21"/>
          <w:szCs w:val="21"/>
        </w:rPr>
        <w:t xml:space="preserve">transmission network </w:t>
      </w:r>
      <w:r w:rsidR="00B3787D" w:rsidRPr="00D74466">
        <w:rPr>
          <w:rFonts w:ascii="Arial" w:hAnsi="Arial" w:cs="Arial"/>
          <w:sz w:val="21"/>
          <w:szCs w:val="21"/>
        </w:rPr>
        <w:t>is outside the DNO control</w:t>
      </w:r>
      <w:r w:rsidR="00F1746F" w:rsidRPr="00D74466">
        <w:rPr>
          <w:rFonts w:ascii="Arial" w:hAnsi="Arial" w:cs="Arial"/>
          <w:sz w:val="21"/>
          <w:szCs w:val="21"/>
        </w:rPr>
        <w:t>,</w:t>
      </w:r>
      <w:r w:rsidR="0028226A" w:rsidRPr="00D74466">
        <w:rPr>
          <w:rFonts w:ascii="Arial" w:hAnsi="Arial" w:cs="Arial"/>
          <w:sz w:val="21"/>
          <w:szCs w:val="21"/>
        </w:rPr>
        <w:t xml:space="preserve"> i</w:t>
      </w:r>
      <w:r w:rsidR="00B3787D" w:rsidRPr="00D74466">
        <w:rPr>
          <w:rFonts w:ascii="Arial" w:hAnsi="Arial" w:cs="Arial"/>
          <w:sz w:val="21"/>
          <w:szCs w:val="21"/>
        </w:rPr>
        <w:t>n our view</w:t>
      </w:r>
      <w:r w:rsidR="00597514" w:rsidRPr="00D74466">
        <w:rPr>
          <w:rFonts w:ascii="Arial" w:hAnsi="Arial" w:cs="Arial"/>
          <w:sz w:val="21"/>
          <w:szCs w:val="21"/>
        </w:rPr>
        <w:t>,</w:t>
      </w:r>
      <w:r w:rsidR="00B3787D" w:rsidRPr="00D74466">
        <w:rPr>
          <w:rFonts w:ascii="Arial" w:hAnsi="Arial" w:cs="Arial"/>
          <w:sz w:val="21"/>
          <w:szCs w:val="21"/>
        </w:rPr>
        <w:t xml:space="preserve"> this is also outside </w:t>
      </w:r>
      <w:r w:rsidR="005953A8" w:rsidRPr="00D74466">
        <w:rPr>
          <w:rFonts w:ascii="Arial" w:hAnsi="Arial" w:cs="Arial"/>
          <w:sz w:val="21"/>
          <w:szCs w:val="21"/>
        </w:rPr>
        <w:t xml:space="preserve">the </w:t>
      </w:r>
      <w:r w:rsidR="00B3787D" w:rsidRPr="00D74466">
        <w:rPr>
          <w:rFonts w:ascii="Arial" w:hAnsi="Arial" w:cs="Arial"/>
          <w:sz w:val="21"/>
          <w:szCs w:val="21"/>
        </w:rPr>
        <w:t xml:space="preserve">control of the generator. </w:t>
      </w:r>
      <w:r w:rsidR="00D55000" w:rsidRPr="00D74466">
        <w:rPr>
          <w:rFonts w:ascii="Arial" w:hAnsi="Arial" w:cs="Arial"/>
          <w:sz w:val="21"/>
          <w:szCs w:val="21"/>
        </w:rPr>
        <w:t>Therefore, i</w:t>
      </w:r>
      <w:r w:rsidR="00B3787D" w:rsidRPr="00D74466">
        <w:rPr>
          <w:rFonts w:ascii="Arial" w:hAnsi="Arial" w:cs="Arial"/>
          <w:sz w:val="21"/>
          <w:szCs w:val="21"/>
        </w:rPr>
        <w:t xml:space="preserve">t is unclear why the generator should take </w:t>
      </w:r>
      <w:r w:rsidR="00B83FE4" w:rsidRPr="00D74466">
        <w:rPr>
          <w:rFonts w:ascii="Arial" w:hAnsi="Arial" w:cs="Arial"/>
          <w:sz w:val="21"/>
          <w:szCs w:val="21"/>
        </w:rPr>
        <w:t>this risk.</w:t>
      </w:r>
      <w:r w:rsidR="00F40AA8" w:rsidRPr="00D74466">
        <w:rPr>
          <w:rFonts w:ascii="Arial" w:hAnsi="Arial" w:cs="Arial"/>
          <w:sz w:val="21"/>
          <w:szCs w:val="21"/>
        </w:rPr>
        <w:t xml:space="preserve"> </w:t>
      </w:r>
    </w:p>
    <w:p w14:paraId="14447A3C" w14:textId="4E39964C" w:rsidR="00FD04D2" w:rsidRPr="00D74466" w:rsidRDefault="00FD04D2" w:rsidP="003D5125">
      <w:pPr>
        <w:pStyle w:val="NormalWeb"/>
        <w:spacing w:line="276" w:lineRule="auto"/>
        <w:jc w:val="both"/>
        <w:rPr>
          <w:rFonts w:ascii="Arial" w:hAnsi="Arial" w:cs="Arial"/>
          <w:sz w:val="21"/>
          <w:szCs w:val="21"/>
        </w:rPr>
      </w:pPr>
      <w:r w:rsidRPr="00D74466">
        <w:rPr>
          <w:rFonts w:ascii="Arial" w:hAnsi="Arial" w:cs="Arial"/>
          <w:sz w:val="21"/>
          <w:szCs w:val="21"/>
        </w:rPr>
        <w:t>Scottish Renewables believe</w:t>
      </w:r>
      <w:r w:rsidR="00683A50" w:rsidRPr="00D74466">
        <w:rPr>
          <w:rFonts w:ascii="Arial" w:hAnsi="Arial" w:cs="Arial"/>
          <w:sz w:val="21"/>
          <w:szCs w:val="21"/>
        </w:rPr>
        <w:t>s</w:t>
      </w:r>
      <w:r w:rsidR="008D2E82" w:rsidRPr="00D74466">
        <w:rPr>
          <w:rFonts w:ascii="Arial" w:hAnsi="Arial" w:cs="Arial"/>
          <w:sz w:val="21"/>
          <w:szCs w:val="21"/>
        </w:rPr>
        <w:t xml:space="preserve"> that</w:t>
      </w:r>
      <w:r w:rsidRPr="00D74466">
        <w:rPr>
          <w:rFonts w:ascii="Arial" w:hAnsi="Arial" w:cs="Arial"/>
          <w:sz w:val="21"/>
          <w:szCs w:val="21"/>
        </w:rPr>
        <w:t xml:space="preserve"> if Ofgem is thinking of extending TNUoS charges for Small Distributor Generators (SDG)</w:t>
      </w:r>
      <w:r w:rsidR="00CD6B93" w:rsidRPr="00D74466">
        <w:rPr>
          <w:rFonts w:ascii="Arial" w:hAnsi="Arial" w:cs="Arial"/>
          <w:sz w:val="21"/>
          <w:szCs w:val="21"/>
        </w:rPr>
        <w:t>,</w:t>
      </w:r>
      <w:r w:rsidR="008D2E82" w:rsidRPr="00D74466">
        <w:rPr>
          <w:rFonts w:ascii="Arial" w:hAnsi="Arial" w:cs="Arial"/>
          <w:sz w:val="21"/>
          <w:szCs w:val="21"/>
        </w:rPr>
        <w:t xml:space="preserve"> this question must be reassessed once that policy is applied. We think that if SDG generators must be exposed to the same level of charging as transmission connected generators, then they should be exposed to </w:t>
      </w:r>
      <w:r w:rsidR="005C6577">
        <w:rPr>
          <w:rFonts w:ascii="Arial" w:hAnsi="Arial" w:cs="Arial"/>
          <w:sz w:val="21"/>
          <w:szCs w:val="21"/>
        </w:rPr>
        <w:t>a</w:t>
      </w:r>
      <w:r w:rsidR="005C6577" w:rsidRPr="00D74466">
        <w:rPr>
          <w:rFonts w:ascii="Arial" w:hAnsi="Arial" w:cs="Arial"/>
          <w:sz w:val="21"/>
          <w:szCs w:val="21"/>
        </w:rPr>
        <w:t xml:space="preserve"> </w:t>
      </w:r>
      <w:r w:rsidR="008D2E82" w:rsidRPr="00D74466">
        <w:rPr>
          <w:rFonts w:ascii="Arial" w:hAnsi="Arial" w:cs="Arial"/>
          <w:sz w:val="21"/>
          <w:szCs w:val="21"/>
        </w:rPr>
        <w:t xml:space="preserve">similar level of risk as transmission </w:t>
      </w:r>
      <w:proofErr w:type="spellStart"/>
      <w:r w:rsidR="008D2E82" w:rsidRPr="00D74466">
        <w:rPr>
          <w:rFonts w:ascii="Arial" w:hAnsi="Arial" w:cs="Arial"/>
          <w:sz w:val="21"/>
          <w:szCs w:val="21"/>
        </w:rPr>
        <w:t>connectees</w:t>
      </w:r>
      <w:proofErr w:type="spellEnd"/>
      <w:r w:rsidR="008D2E82" w:rsidRPr="00D74466">
        <w:rPr>
          <w:rFonts w:ascii="Arial" w:hAnsi="Arial" w:cs="Arial"/>
          <w:sz w:val="21"/>
          <w:szCs w:val="21"/>
        </w:rPr>
        <w:t xml:space="preserve">. </w:t>
      </w:r>
      <w:r w:rsidR="00CD6B93" w:rsidRPr="00D74466">
        <w:rPr>
          <w:rFonts w:ascii="Arial" w:hAnsi="Arial" w:cs="Arial"/>
          <w:sz w:val="21"/>
          <w:szCs w:val="21"/>
        </w:rPr>
        <w:t>If we are going to have a level playing field this must apply to both sides distribution and transmission.</w:t>
      </w:r>
    </w:p>
    <w:p w14:paraId="0D73EB1B" w14:textId="15EAD85C" w:rsidR="00632C10"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632C10" w:rsidRPr="00D74466">
        <w:rPr>
          <w:rFonts w:ascii="Arial" w:hAnsi="Arial" w:cs="Arial"/>
          <w:b/>
          <w:bCs/>
          <w:sz w:val="21"/>
          <w:szCs w:val="21"/>
        </w:rPr>
        <w:t>2.2</w:t>
      </w:r>
      <w:r w:rsidRPr="00D74466">
        <w:rPr>
          <w:rFonts w:ascii="Arial" w:hAnsi="Arial" w:cs="Arial"/>
          <w:b/>
          <w:bCs/>
          <w:sz w:val="21"/>
          <w:szCs w:val="21"/>
        </w:rPr>
        <w:t xml:space="preserve">: </w:t>
      </w:r>
    </w:p>
    <w:p w14:paraId="7FE0133E" w14:textId="0F676AAB"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you agree that the curtailment limit should be offered by the network based on maximum network benefit and agreed with the connecting customer?</w:t>
      </w:r>
    </w:p>
    <w:p w14:paraId="0063D6C0" w14:textId="77777777" w:rsidR="00107377" w:rsidRPr="00D74466" w:rsidRDefault="00107377" w:rsidP="003D5125">
      <w:pPr>
        <w:pStyle w:val="NormalWeb"/>
        <w:spacing w:line="276" w:lineRule="auto"/>
        <w:jc w:val="both"/>
        <w:rPr>
          <w:rFonts w:ascii="Arial" w:hAnsi="Arial" w:cs="Arial"/>
          <w:b/>
          <w:bCs/>
          <w:sz w:val="21"/>
          <w:szCs w:val="21"/>
        </w:rPr>
      </w:pPr>
    </w:p>
    <w:p w14:paraId="2770A6C3" w14:textId="2408CB16" w:rsidR="00632C10"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632C10" w:rsidRPr="00D74466">
        <w:rPr>
          <w:rFonts w:ascii="Arial" w:hAnsi="Arial" w:cs="Arial"/>
          <w:b/>
          <w:bCs/>
          <w:sz w:val="21"/>
          <w:szCs w:val="21"/>
        </w:rPr>
        <w:t>2.3</w:t>
      </w:r>
      <w:r w:rsidRPr="00D74466">
        <w:rPr>
          <w:rFonts w:ascii="Arial" w:hAnsi="Arial" w:cs="Arial"/>
          <w:b/>
          <w:bCs/>
          <w:sz w:val="21"/>
          <w:szCs w:val="21"/>
        </w:rPr>
        <w:t xml:space="preserve">: </w:t>
      </w:r>
    </w:p>
    <w:p w14:paraId="454D0635" w14:textId="7A6FA096"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you have any views on the principles that should be applied to ensure curtailment limits are set in a consistent manner?</w:t>
      </w:r>
    </w:p>
    <w:p w14:paraId="4C69B5AB" w14:textId="77777777" w:rsidR="00107377" w:rsidRPr="00D74466" w:rsidRDefault="00107377" w:rsidP="003D5125">
      <w:pPr>
        <w:pStyle w:val="NormalWeb"/>
        <w:spacing w:line="276" w:lineRule="auto"/>
        <w:jc w:val="both"/>
        <w:rPr>
          <w:rFonts w:ascii="Arial" w:hAnsi="Arial" w:cs="Arial"/>
          <w:b/>
          <w:bCs/>
          <w:sz w:val="21"/>
          <w:szCs w:val="21"/>
        </w:rPr>
      </w:pPr>
    </w:p>
    <w:p w14:paraId="65C58CC6" w14:textId="1132295E" w:rsidR="00632C10"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632C10" w:rsidRPr="00D74466">
        <w:rPr>
          <w:rFonts w:ascii="Arial" w:hAnsi="Arial" w:cs="Arial"/>
          <w:b/>
          <w:bCs/>
          <w:sz w:val="21"/>
          <w:szCs w:val="21"/>
        </w:rPr>
        <w:t>2.4</w:t>
      </w:r>
      <w:r w:rsidRPr="00D74466">
        <w:rPr>
          <w:rFonts w:ascii="Arial" w:hAnsi="Arial" w:cs="Arial"/>
          <w:b/>
          <w:bCs/>
          <w:sz w:val="21"/>
          <w:szCs w:val="21"/>
        </w:rPr>
        <w:t xml:space="preserve">: </w:t>
      </w:r>
    </w:p>
    <w:p w14:paraId="4A2BEDEE" w14:textId="63D1C066"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Do you agree with our proposal not to introduce a cap for flexibility payments made should any curtailment </w:t>
      </w:r>
      <w:proofErr w:type="gramStart"/>
      <w:r w:rsidRPr="00D74466">
        <w:rPr>
          <w:rFonts w:ascii="Arial" w:hAnsi="Arial" w:cs="Arial"/>
          <w:b/>
          <w:bCs/>
          <w:sz w:val="21"/>
          <w:szCs w:val="21"/>
        </w:rPr>
        <w:t>in excess of</w:t>
      </w:r>
      <w:proofErr w:type="gramEnd"/>
      <w:r w:rsidRPr="00D74466">
        <w:rPr>
          <w:rFonts w:ascii="Arial" w:hAnsi="Arial" w:cs="Arial"/>
          <w:b/>
          <w:bCs/>
          <w:sz w:val="21"/>
          <w:szCs w:val="21"/>
        </w:rPr>
        <w:t xml:space="preserve"> agreed limits be required?</w:t>
      </w:r>
    </w:p>
    <w:p w14:paraId="4C2C8BB6" w14:textId="454A8792" w:rsidR="00A6094F" w:rsidRPr="00D74466" w:rsidRDefault="00417E6A" w:rsidP="003D5125">
      <w:pPr>
        <w:pStyle w:val="NormalWeb"/>
        <w:spacing w:line="276" w:lineRule="auto"/>
        <w:jc w:val="both"/>
        <w:rPr>
          <w:rFonts w:ascii="Arial" w:hAnsi="Arial" w:cs="Arial"/>
          <w:sz w:val="21"/>
          <w:szCs w:val="21"/>
        </w:rPr>
      </w:pPr>
      <w:r w:rsidRPr="00D74466">
        <w:rPr>
          <w:rFonts w:ascii="Arial" w:hAnsi="Arial" w:cs="Arial"/>
          <w:sz w:val="21"/>
          <w:szCs w:val="21"/>
        </w:rPr>
        <w:t xml:space="preserve">In our view, </w:t>
      </w:r>
      <w:r w:rsidR="00A6094F" w:rsidRPr="00D74466">
        <w:rPr>
          <w:rFonts w:ascii="Arial" w:hAnsi="Arial" w:cs="Arial"/>
          <w:sz w:val="21"/>
          <w:szCs w:val="21"/>
        </w:rPr>
        <w:t xml:space="preserve">this proposal is in the right direction, but </w:t>
      </w:r>
      <w:r w:rsidR="00531277" w:rsidRPr="00D74466">
        <w:rPr>
          <w:rFonts w:ascii="Arial" w:hAnsi="Arial" w:cs="Arial"/>
          <w:sz w:val="21"/>
          <w:szCs w:val="21"/>
        </w:rPr>
        <w:t>measuring curtailment by % time</w:t>
      </w:r>
      <w:r w:rsidR="00A6094F" w:rsidRPr="00D74466">
        <w:rPr>
          <w:rFonts w:ascii="Arial" w:hAnsi="Arial" w:cs="Arial"/>
          <w:sz w:val="21"/>
          <w:szCs w:val="21"/>
        </w:rPr>
        <w:t xml:space="preserve"> </w:t>
      </w:r>
      <w:r w:rsidR="00531277" w:rsidRPr="00D74466">
        <w:rPr>
          <w:rFonts w:ascii="Arial" w:hAnsi="Arial" w:cs="Arial"/>
          <w:sz w:val="21"/>
          <w:szCs w:val="21"/>
        </w:rPr>
        <w:t>is unhelpful</w:t>
      </w:r>
      <w:r w:rsidR="00A6094F" w:rsidRPr="00D74466">
        <w:rPr>
          <w:rFonts w:ascii="Arial" w:hAnsi="Arial" w:cs="Arial"/>
          <w:sz w:val="21"/>
          <w:szCs w:val="21"/>
        </w:rPr>
        <w:t xml:space="preserve">. </w:t>
      </w:r>
      <w:r w:rsidR="00531277" w:rsidRPr="00D74466">
        <w:rPr>
          <w:rFonts w:ascii="Arial" w:hAnsi="Arial" w:cs="Arial"/>
          <w:sz w:val="21"/>
          <w:szCs w:val="21"/>
        </w:rPr>
        <w:t xml:space="preserve">We </w:t>
      </w:r>
      <w:r w:rsidR="005C6577">
        <w:rPr>
          <w:rFonts w:ascii="Arial" w:hAnsi="Arial" w:cs="Arial"/>
          <w:sz w:val="21"/>
          <w:szCs w:val="21"/>
        </w:rPr>
        <w:t>think</w:t>
      </w:r>
      <w:r w:rsidR="005C6577" w:rsidRPr="00D74466">
        <w:rPr>
          <w:rFonts w:ascii="Arial" w:hAnsi="Arial" w:cs="Arial"/>
          <w:sz w:val="21"/>
          <w:szCs w:val="21"/>
        </w:rPr>
        <w:t xml:space="preserve"> </w:t>
      </w:r>
      <w:r w:rsidR="00531277" w:rsidRPr="00D74466">
        <w:rPr>
          <w:rFonts w:ascii="Arial" w:hAnsi="Arial" w:cs="Arial"/>
          <w:sz w:val="21"/>
          <w:szCs w:val="21"/>
        </w:rPr>
        <w:t xml:space="preserve">that </w:t>
      </w:r>
      <w:r w:rsidR="008F7643" w:rsidRPr="00D74466">
        <w:rPr>
          <w:rFonts w:ascii="Arial" w:hAnsi="Arial" w:cs="Arial"/>
          <w:sz w:val="21"/>
          <w:szCs w:val="21"/>
        </w:rPr>
        <w:t>something more</w:t>
      </w:r>
      <w:r w:rsidR="00531277" w:rsidRPr="00D74466">
        <w:rPr>
          <w:rFonts w:ascii="Arial" w:hAnsi="Arial" w:cs="Arial"/>
          <w:sz w:val="21"/>
          <w:szCs w:val="21"/>
        </w:rPr>
        <w:t xml:space="preserve"> granular would be better. Therefore, </w:t>
      </w:r>
      <w:r w:rsidR="008F7643" w:rsidRPr="00D74466">
        <w:rPr>
          <w:rFonts w:ascii="Arial" w:hAnsi="Arial" w:cs="Arial"/>
          <w:sz w:val="21"/>
          <w:szCs w:val="21"/>
        </w:rPr>
        <w:t xml:space="preserve">we </w:t>
      </w:r>
      <w:r w:rsidR="005C6577">
        <w:rPr>
          <w:rFonts w:ascii="Arial" w:hAnsi="Arial" w:cs="Arial"/>
          <w:sz w:val="21"/>
          <w:szCs w:val="21"/>
        </w:rPr>
        <w:t>recommend</w:t>
      </w:r>
      <w:r w:rsidR="005C6577" w:rsidRPr="00D74466">
        <w:rPr>
          <w:rFonts w:ascii="Arial" w:hAnsi="Arial" w:cs="Arial"/>
          <w:sz w:val="21"/>
          <w:szCs w:val="21"/>
        </w:rPr>
        <w:t xml:space="preserve"> </w:t>
      </w:r>
      <w:r w:rsidR="008F7643" w:rsidRPr="00D74466">
        <w:rPr>
          <w:rFonts w:ascii="Arial" w:hAnsi="Arial" w:cs="Arial"/>
          <w:sz w:val="21"/>
          <w:szCs w:val="21"/>
        </w:rPr>
        <w:t>that</w:t>
      </w:r>
      <w:r w:rsidR="00531277" w:rsidRPr="00D74466">
        <w:rPr>
          <w:rFonts w:ascii="Arial" w:hAnsi="Arial" w:cs="Arial"/>
          <w:sz w:val="21"/>
          <w:szCs w:val="21"/>
        </w:rPr>
        <w:t xml:space="preserve"> instead of </w:t>
      </w:r>
      <w:r w:rsidR="008F7643" w:rsidRPr="00D74466">
        <w:rPr>
          <w:rFonts w:ascii="Arial" w:hAnsi="Arial" w:cs="Arial"/>
          <w:sz w:val="21"/>
          <w:szCs w:val="21"/>
        </w:rPr>
        <w:t xml:space="preserve">measuring the curtailment by % time per year, </w:t>
      </w:r>
      <w:r w:rsidR="00531277" w:rsidRPr="00D74466">
        <w:rPr>
          <w:rFonts w:ascii="Arial" w:hAnsi="Arial" w:cs="Arial"/>
          <w:sz w:val="21"/>
          <w:szCs w:val="21"/>
        </w:rPr>
        <w:t xml:space="preserve">it would be better to </w:t>
      </w:r>
      <w:r w:rsidR="00683A50" w:rsidRPr="00D74466">
        <w:rPr>
          <w:rFonts w:ascii="Arial" w:hAnsi="Arial" w:cs="Arial"/>
          <w:sz w:val="21"/>
          <w:szCs w:val="21"/>
        </w:rPr>
        <w:t>measure</w:t>
      </w:r>
      <w:r w:rsidR="00531277" w:rsidRPr="00D74466">
        <w:rPr>
          <w:rFonts w:ascii="Arial" w:hAnsi="Arial" w:cs="Arial"/>
          <w:sz w:val="21"/>
          <w:szCs w:val="21"/>
        </w:rPr>
        <w:t xml:space="preserve"> this seasonally</w:t>
      </w:r>
      <w:r w:rsidR="008F7643" w:rsidRPr="00D74466">
        <w:rPr>
          <w:rFonts w:ascii="Arial" w:hAnsi="Arial" w:cs="Arial"/>
          <w:sz w:val="21"/>
          <w:szCs w:val="21"/>
        </w:rPr>
        <w:t>, for example the number of hours per each se</w:t>
      </w:r>
      <w:r w:rsidR="00683A50" w:rsidRPr="00D74466">
        <w:rPr>
          <w:rFonts w:ascii="Arial" w:hAnsi="Arial" w:cs="Arial"/>
          <w:sz w:val="21"/>
          <w:szCs w:val="21"/>
        </w:rPr>
        <w:t>ason</w:t>
      </w:r>
      <w:r w:rsidR="00E26ECE" w:rsidRPr="00D74466">
        <w:rPr>
          <w:rFonts w:ascii="Arial" w:hAnsi="Arial" w:cs="Arial"/>
          <w:sz w:val="21"/>
          <w:szCs w:val="21"/>
        </w:rPr>
        <w:t xml:space="preserve"> (understanding </w:t>
      </w:r>
      <w:r w:rsidR="00683A50" w:rsidRPr="00D74466">
        <w:rPr>
          <w:rFonts w:ascii="Arial" w:hAnsi="Arial" w:cs="Arial"/>
          <w:sz w:val="21"/>
          <w:szCs w:val="21"/>
        </w:rPr>
        <w:t>season</w:t>
      </w:r>
      <w:r w:rsidR="00E26ECE" w:rsidRPr="00D74466">
        <w:rPr>
          <w:rFonts w:ascii="Arial" w:hAnsi="Arial" w:cs="Arial"/>
          <w:sz w:val="21"/>
          <w:szCs w:val="21"/>
        </w:rPr>
        <w:t xml:space="preserve"> as </w:t>
      </w:r>
      <w:r w:rsidR="00AF2A44" w:rsidRPr="00D74466">
        <w:rPr>
          <w:rFonts w:ascii="Arial" w:hAnsi="Arial" w:cs="Arial"/>
          <w:sz w:val="21"/>
          <w:szCs w:val="21"/>
        </w:rPr>
        <w:t>w</w:t>
      </w:r>
      <w:r w:rsidR="00E26ECE" w:rsidRPr="00D74466">
        <w:rPr>
          <w:rFonts w:ascii="Arial" w:hAnsi="Arial" w:cs="Arial"/>
          <w:sz w:val="21"/>
          <w:szCs w:val="21"/>
        </w:rPr>
        <w:t>inter, summer</w:t>
      </w:r>
      <w:r w:rsidR="00AF2A44" w:rsidRPr="00D74466">
        <w:rPr>
          <w:rFonts w:ascii="Arial" w:hAnsi="Arial" w:cs="Arial"/>
          <w:sz w:val="21"/>
          <w:szCs w:val="21"/>
        </w:rPr>
        <w:t>,</w:t>
      </w:r>
      <w:r w:rsidR="00E26ECE" w:rsidRPr="00D74466">
        <w:rPr>
          <w:rFonts w:ascii="Arial" w:hAnsi="Arial" w:cs="Arial"/>
          <w:sz w:val="21"/>
          <w:szCs w:val="21"/>
        </w:rPr>
        <w:t xml:space="preserve"> </w:t>
      </w:r>
      <w:r w:rsidR="006439F8" w:rsidRPr="00D74466">
        <w:rPr>
          <w:rFonts w:ascii="Arial" w:hAnsi="Arial" w:cs="Arial"/>
          <w:sz w:val="21"/>
          <w:szCs w:val="21"/>
        </w:rPr>
        <w:t>spring,</w:t>
      </w:r>
      <w:r w:rsidR="00E26ECE" w:rsidRPr="00D74466">
        <w:rPr>
          <w:rFonts w:ascii="Arial" w:hAnsi="Arial" w:cs="Arial"/>
          <w:sz w:val="21"/>
          <w:szCs w:val="21"/>
        </w:rPr>
        <w:t xml:space="preserve"> and </w:t>
      </w:r>
      <w:r w:rsidR="00AF2A44" w:rsidRPr="00D74466">
        <w:rPr>
          <w:rFonts w:ascii="Arial" w:hAnsi="Arial" w:cs="Arial"/>
          <w:sz w:val="21"/>
          <w:szCs w:val="21"/>
        </w:rPr>
        <w:t>a</w:t>
      </w:r>
      <w:r w:rsidR="00E26ECE" w:rsidRPr="00D74466">
        <w:rPr>
          <w:rFonts w:ascii="Arial" w:hAnsi="Arial" w:cs="Arial"/>
          <w:sz w:val="21"/>
          <w:szCs w:val="21"/>
        </w:rPr>
        <w:t>utumn).</w:t>
      </w:r>
    </w:p>
    <w:p w14:paraId="3E6E0673" w14:textId="77777777" w:rsidR="00632C10"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632C10" w:rsidRPr="00D74466">
        <w:rPr>
          <w:rFonts w:ascii="Arial" w:hAnsi="Arial" w:cs="Arial"/>
          <w:b/>
          <w:bCs/>
          <w:sz w:val="21"/>
          <w:szCs w:val="21"/>
        </w:rPr>
        <w:t>2.5</w:t>
      </w:r>
      <w:r w:rsidRPr="00D74466">
        <w:rPr>
          <w:rFonts w:ascii="Arial" w:hAnsi="Arial" w:cs="Arial"/>
          <w:b/>
          <w:bCs/>
          <w:sz w:val="21"/>
          <w:szCs w:val="21"/>
        </w:rPr>
        <w:t xml:space="preserve">: </w:t>
      </w:r>
    </w:p>
    <w:p w14:paraId="2F922472" w14:textId="17C422F0"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Do you agree with our proposal to introduce explicit end-dates for non-firm arrangements? Are there any mitigations for </w:t>
      </w:r>
      <w:proofErr w:type="spellStart"/>
      <w:r w:rsidRPr="00D74466">
        <w:rPr>
          <w:rFonts w:ascii="Arial" w:hAnsi="Arial" w:cs="Arial"/>
          <w:b/>
          <w:bCs/>
          <w:sz w:val="21"/>
          <w:szCs w:val="21"/>
        </w:rPr>
        <w:t>DUoS</w:t>
      </w:r>
      <w:proofErr w:type="spellEnd"/>
      <w:r w:rsidRPr="00D74466">
        <w:rPr>
          <w:rFonts w:ascii="Arial" w:hAnsi="Arial" w:cs="Arial"/>
          <w:b/>
          <w:bCs/>
          <w:sz w:val="21"/>
          <w:szCs w:val="21"/>
        </w:rPr>
        <w:t xml:space="preserve"> billpayers we should consider?</w:t>
      </w:r>
    </w:p>
    <w:p w14:paraId="612738E6" w14:textId="573FD862" w:rsidR="00C22DD0" w:rsidRPr="00D74466" w:rsidRDefault="00451E3A" w:rsidP="003D5125">
      <w:pPr>
        <w:pStyle w:val="NormalWeb"/>
        <w:spacing w:line="276" w:lineRule="auto"/>
        <w:jc w:val="both"/>
        <w:rPr>
          <w:rFonts w:ascii="Arial" w:hAnsi="Arial" w:cs="Arial"/>
          <w:sz w:val="21"/>
          <w:szCs w:val="21"/>
        </w:rPr>
      </w:pPr>
      <w:r w:rsidRPr="00D74466">
        <w:rPr>
          <w:rFonts w:ascii="Arial" w:hAnsi="Arial" w:cs="Arial"/>
          <w:sz w:val="21"/>
          <w:szCs w:val="21"/>
        </w:rPr>
        <w:t xml:space="preserve">We think that </w:t>
      </w:r>
      <w:r w:rsidR="00683A50" w:rsidRPr="00D74466">
        <w:rPr>
          <w:rFonts w:ascii="Arial" w:hAnsi="Arial" w:cs="Arial"/>
          <w:sz w:val="21"/>
          <w:szCs w:val="21"/>
        </w:rPr>
        <w:t>there</w:t>
      </w:r>
      <w:r w:rsidRPr="00D74466">
        <w:rPr>
          <w:rFonts w:ascii="Arial" w:hAnsi="Arial" w:cs="Arial"/>
          <w:sz w:val="21"/>
          <w:szCs w:val="21"/>
        </w:rPr>
        <w:t xml:space="preserve"> </w:t>
      </w:r>
      <w:r w:rsidR="002545CF" w:rsidRPr="00D74466">
        <w:rPr>
          <w:rFonts w:ascii="Arial" w:hAnsi="Arial" w:cs="Arial"/>
          <w:sz w:val="21"/>
          <w:szCs w:val="21"/>
        </w:rPr>
        <w:t xml:space="preserve">may be some difficulties </w:t>
      </w:r>
      <w:r w:rsidR="00683A50" w:rsidRPr="00D74466">
        <w:rPr>
          <w:rFonts w:ascii="Arial" w:hAnsi="Arial" w:cs="Arial"/>
          <w:sz w:val="21"/>
          <w:szCs w:val="21"/>
        </w:rPr>
        <w:t>with</w:t>
      </w:r>
      <w:r w:rsidR="002545CF" w:rsidRPr="00D74466">
        <w:rPr>
          <w:rFonts w:ascii="Arial" w:hAnsi="Arial" w:cs="Arial"/>
          <w:sz w:val="21"/>
          <w:szCs w:val="21"/>
        </w:rPr>
        <w:t xml:space="preserve"> how </w:t>
      </w:r>
      <w:r w:rsidR="00341741" w:rsidRPr="00D74466">
        <w:rPr>
          <w:rFonts w:ascii="Arial" w:hAnsi="Arial" w:cs="Arial"/>
          <w:sz w:val="21"/>
          <w:szCs w:val="21"/>
        </w:rPr>
        <w:t>this is</w:t>
      </w:r>
      <w:r w:rsidR="00C76480" w:rsidRPr="00D74466">
        <w:rPr>
          <w:rFonts w:ascii="Arial" w:hAnsi="Arial" w:cs="Arial"/>
          <w:sz w:val="21"/>
          <w:szCs w:val="21"/>
        </w:rPr>
        <w:t xml:space="preserve"> applied and how the DNOs may </w:t>
      </w:r>
      <w:r w:rsidRPr="00D74466">
        <w:rPr>
          <w:rFonts w:ascii="Arial" w:hAnsi="Arial" w:cs="Arial"/>
          <w:sz w:val="21"/>
          <w:szCs w:val="21"/>
        </w:rPr>
        <w:t>use</w:t>
      </w:r>
      <w:r w:rsidR="00C76480" w:rsidRPr="00D74466">
        <w:rPr>
          <w:rFonts w:ascii="Arial" w:hAnsi="Arial" w:cs="Arial"/>
          <w:sz w:val="21"/>
          <w:szCs w:val="21"/>
        </w:rPr>
        <w:t xml:space="preserve"> this to dump costs</w:t>
      </w:r>
      <w:r w:rsidR="00341741" w:rsidRPr="00D74466">
        <w:rPr>
          <w:rFonts w:ascii="Arial" w:hAnsi="Arial" w:cs="Arial"/>
          <w:sz w:val="21"/>
          <w:szCs w:val="21"/>
        </w:rPr>
        <w:t xml:space="preserve">. The </w:t>
      </w:r>
      <w:r w:rsidR="00C76480" w:rsidRPr="00D74466">
        <w:rPr>
          <w:rFonts w:ascii="Arial" w:hAnsi="Arial" w:cs="Arial"/>
          <w:sz w:val="21"/>
          <w:szCs w:val="21"/>
        </w:rPr>
        <w:t>curtailment should be used as a prox</w:t>
      </w:r>
      <w:r w:rsidR="00034C6E" w:rsidRPr="00D74466">
        <w:rPr>
          <w:rFonts w:ascii="Arial" w:hAnsi="Arial" w:cs="Arial"/>
          <w:sz w:val="21"/>
          <w:szCs w:val="21"/>
        </w:rPr>
        <w:t>y</w:t>
      </w:r>
      <w:r w:rsidR="00C76480" w:rsidRPr="00D74466">
        <w:rPr>
          <w:rFonts w:ascii="Arial" w:hAnsi="Arial" w:cs="Arial"/>
          <w:sz w:val="21"/>
          <w:szCs w:val="21"/>
        </w:rPr>
        <w:t xml:space="preserve"> signal for where networking assessment is needed</w:t>
      </w:r>
      <w:r w:rsidRPr="00D74466">
        <w:rPr>
          <w:rFonts w:ascii="Arial" w:hAnsi="Arial" w:cs="Arial"/>
          <w:sz w:val="21"/>
          <w:szCs w:val="21"/>
        </w:rPr>
        <w:t>.</w:t>
      </w:r>
      <w:r w:rsidR="00341741" w:rsidRPr="00D74466">
        <w:rPr>
          <w:rFonts w:ascii="Arial" w:hAnsi="Arial" w:cs="Arial"/>
          <w:sz w:val="21"/>
          <w:szCs w:val="21"/>
        </w:rPr>
        <w:t xml:space="preserve"> A good approach would be to r</w:t>
      </w:r>
      <w:r w:rsidR="00B0545D" w:rsidRPr="00D74466">
        <w:rPr>
          <w:rFonts w:ascii="Arial" w:hAnsi="Arial" w:cs="Arial"/>
          <w:sz w:val="21"/>
          <w:szCs w:val="21"/>
        </w:rPr>
        <w:t xml:space="preserve">eplicate </w:t>
      </w:r>
      <w:r w:rsidR="00DA673D" w:rsidRPr="00D74466">
        <w:rPr>
          <w:rFonts w:ascii="Arial" w:hAnsi="Arial" w:cs="Arial"/>
          <w:sz w:val="21"/>
          <w:szCs w:val="21"/>
        </w:rPr>
        <w:t>the</w:t>
      </w:r>
      <w:r w:rsidR="00B0545D" w:rsidRPr="00D74466">
        <w:rPr>
          <w:rFonts w:ascii="Arial" w:hAnsi="Arial" w:cs="Arial"/>
          <w:sz w:val="21"/>
          <w:szCs w:val="21"/>
        </w:rPr>
        <w:t xml:space="preserve"> </w:t>
      </w:r>
      <w:r w:rsidR="00341741" w:rsidRPr="00D74466">
        <w:rPr>
          <w:rFonts w:ascii="Arial" w:hAnsi="Arial" w:cs="Arial"/>
          <w:sz w:val="21"/>
          <w:szCs w:val="21"/>
        </w:rPr>
        <w:t>Network Option</w:t>
      </w:r>
      <w:r w:rsidR="00DA673D" w:rsidRPr="00D74466">
        <w:rPr>
          <w:rFonts w:ascii="Arial" w:hAnsi="Arial" w:cs="Arial"/>
          <w:sz w:val="21"/>
          <w:szCs w:val="21"/>
        </w:rPr>
        <w:t>s</w:t>
      </w:r>
      <w:r w:rsidR="00341741" w:rsidRPr="00D74466">
        <w:rPr>
          <w:rFonts w:ascii="Arial" w:hAnsi="Arial" w:cs="Arial"/>
          <w:sz w:val="21"/>
          <w:szCs w:val="21"/>
        </w:rPr>
        <w:t xml:space="preserve"> Assessment (</w:t>
      </w:r>
      <w:r w:rsidR="00B0545D" w:rsidRPr="00D74466">
        <w:rPr>
          <w:rFonts w:ascii="Arial" w:hAnsi="Arial" w:cs="Arial"/>
          <w:sz w:val="21"/>
          <w:szCs w:val="21"/>
        </w:rPr>
        <w:t>NOA</w:t>
      </w:r>
      <w:r w:rsidR="00341741" w:rsidRPr="00D74466">
        <w:rPr>
          <w:rFonts w:ascii="Arial" w:hAnsi="Arial" w:cs="Arial"/>
          <w:sz w:val="21"/>
          <w:szCs w:val="21"/>
        </w:rPr>
        <w:t>)</w:t>
      </w:r>
      <w:r w:rsidR="00B0545D" w:rsidRPr="00D74466">
        <w:rPr>
          <w:rFonts w:ascii="Arial" w:hAnsi="Arial" w:cs="Arial"/>
          <w:sz w:val="21"/>
          <w:szCs w:val="21"/>
        </w:rPr>
        <w:t xml:space="preserve"> process</w:t>
      </w:r>
      <w:r w:rsidR="00341741" w:rsidRPr="00D74466">
        <w:rPr>
          <w:rFonts w:ascii="Arial" w:hAnsi="Arial" w:cs="Arial"/>
          <w:sz w:val="21"/>
          <w:szCs w:val="21"/>
        </w:rPr>
        <w:t>,</w:t>
      </w:r>
      <w:r w:rsidR="00B0545D" w:rsidRPr="00D74466">
        <w:rPr>
          <w:rFonts w:ascii="Arial" w:hAnsi="Arial" w:cs="Arial"/>
          <w:sz w:val="21"/>
          <w:szCs w:val="21"/>
        </w:rPr>
        <w:t xml:space="preserve"> where </w:t>
      </w:r>
      <w:r w:rsidR="00DA673D" w:rsidRPr="00D74466">
        <w:rPr>
          <w:rFonts w:ascii="Arial" w:hAnsi="Arial" w:cs="Arial"/>
          <w:sz w:val="21"/>
          <w:szCs w:val="21"/>
        </w:rPr>
        <w:t>the DNO</w:t>
      </w:r>
      <w:r w:rsidR="00B0545D" w:rsidRPr="00D74466">
        <w:rPr>
          <w:rFonts w:ascii="Arial" w:hAnsi="Arial" w:cs="Arial"/>
          <w:sz w:val="21"/>
          <w:szCs w:val="21"/>
        </w:rPr>
        <w:t xml:space="preserve"> </w:t>
      </w:r>
      <w:r w:rsidR="002545CF" w:rsidRPr="00D74466">
        <w:rPr>
          <w:rFonts w:ascii="Arial" w:hAnsi="Arial" w:cs="Arial"/>
          <w:sz w:val="21"/>
          <w:szCs w:val="21"/>
        </w:rPr>
        <w:t>ha</w:t>
      </w:r>
      <w:r w:rsidR="00DA673D" w:rsidRPr="00D74466">
        <w:rPr>
          <w:rFonts w:ascii="Arial" w:hAnsi="Arial" w:cs="Arial"/>
          <w:sz w:val="21"/>
          <w:szCs w:val="21"/>
        </w:rPr>
        <w:t>s</w:t>
      </w:r>
      <w:r w:rsidR="002545CF" w:rsidRPr="00D74466">
        <w:rPr>
          <w:rFonts w:ascii="Arial" w:hAnsi="Arial" w:cs="Arial"/>
          <w:sz w:val="21"/>
          <w:szCs w:val="21"/>
        </w:rPr>
        <w:t xml:space="preserve"> </w:t>
      </w:r>
      <w:r w:rsidR="00B0545D" w:rsidRPr="00D74466">
        <w:rPr>
          <w:rFonts w:ascii="Arial" w:hAnsi="Arial" w:cs="Arial"/>
          <w:sz w:val="21"/>
          <w:szCs w:val="21"/>
        </w:rPr>
        <w:t>the costs</w:t>
      </w:r>
      <w:r w:rsidR="002545CF" w:rsidRPr="00D74466">
        <w:rPr>
          <w:rFonts w:ascii="Arial" w:hAnsi="Arial" w:cs="Arial"/>
          <w:sz w:val="21"/>
          <w:szCs w:val="21"/>
        </w:rPr>
        <w:t xml:space="preserve"> of curtail</w:t>
      </w:r>
      <w:r w:rsidR="00683A50" w:rsidRPr="00D74466">
        <w:rPr>
          <w:rFonts w:ascii="Arial" w:hAnsi="Arial" w:cs="Arial"/>
          <w:sz w:val="21"/>
          <w:szCs w:val="21"/>
        </w:rPr>
        <w:t>ment</w:t>
      </w:r>
      <w:r w:rsidRPr="00D74466">
        <w:rPr>
          <w:rFonts w:ascii="Arial" w:hAnsi="Arial" w:cs="Arial"/>
          <w:sz w:val="21"/>
          <w:szCs w:val="21"/>
        </w:rPr>
        <w:t>, which could</w:t>
      </w:r>
      <w:r w:rsidR="00034C6E" w:rsidRPr="00D74466">
        <w:rPr>
          <w:rFonts w:ascii="Arial" w:hAnsi="Arial" w:cs="Arial"/>
          <w:sz w:val="21"/>
          <w:szCs w:val="21"/>
        </w:rPr>
        <w:t xml:space="preserve"> </w:t>
      </w:r>
      <w:r w:rsidR="006439F8" w:rsidRPr="00D74466">
        <w:rPr>
          <w:rFonts w:ascii="Arial" w:hAnsi="Arial" w:cs="Arial"/>
          <w:sz w:val="21"/>
          <w:szCs w:val="21"/>
        </w:rPr>
        <w:t xml:space="preserve">be </w:t>
      </w:r>
      <w:r w:rsidR="002545CF" w:rsidRPr="00D74466">
        <w:rPr>
          <w:rFonts w:ascii="Arial" w:hAnsi="Arial" w:cs="Arial"/>
          <w:sz w:val="21"/>
          <w:szCs w:val="21"/>
        </w:rPr>
        <w:t>balance</w:t>
      </w:r>
      <w:r w:rsidR="006439F8" w:rsidRPr="00D74466">
        <w:rPr>
          <w:rFonts w:ascii="Arial" w:hAnsi="Arial" w:cs="Arial"/>
          <w:sz w:val="21"/>
          <w:szCs w:val="21"/>
        </w:rPr>
        <w:t>d</w:t>
      </w:r>
      <w:r w:rsidR="002545CF" w:rsidRPr="00D74466">
        <w:rPr>
          <w:rFonts w:ascii="Arial" w:hAnsi="Arial" w:cs="Arial"/>
          <w:sz w:val="21"/>
          <w:szCs w:val="21"/>
        </w:rPr>
        <w:t xml:space="preserve"> off with the costs of reinforcement</w:t>
      </w:r>
      <w:r w:rsidR="00341741" w:rsidRPr="00D74466">
        <w:rPr>
          <w:rFonts w:ascii="Arial" w:hAnsi="Arial" w:cs="Arial"/>
          <w:sz w:val="21"/>
          <w:szCs w:val="21"/>
        </w:rPr>
        <w:t xml:space="preserve">. If DNOs are actively </w:t>
      </w:r>
      <w:r w:rsidR="00034C6E" w:rsidRPr="00D74466">
        <w:rPr>
          <w:rFonts w:ascii="Arial" w:hAnsi="Arial" w:cs="Arial"/>
          <w:sz w:val="21"/>
          <w:szCs w:val="21"/>
        </w:rPr>
        <w:t>managing the system</w:t>
      </w:r>
      <w:r w:rsidR="00341741" w:rsidRPr="00D74466">
        <w:rPr>
          <w:rFonts w:ascii="Arial" w:hAnsi="Arial" w:cs="Arial"/>
          <w:sz w:val="21"/>
          <w:szCs w:val="21"/>
        </w:rPr>
        <w:t xml:space="preserve">, this is how they </w:t>
      </w:r>
      <w:r w:rsidR="00034C6E" w:rsidRPr="00D74466">
        <w:rPr>
          <w:rFonts w:ascii="Arial" w:hAnsi="Arial" w:cs="Arial"/>
          <w:sz w:val="21"/>
          <w:szCs w:val="21"/>
        </w:rPr>
        <w:t>should be doing</w:t>
      </w:r>
      <w:r w:rsidR="00341741" w:rsidRPr="00D74466">
        <w:rPr>
          <w:rFonts w:ascii="Arial" w:hAnsi="Arial" w:cs="Arial"/>
          <w:sz w:val="21"/>
          <w:szCs w:val="21"/>
        </w:rPr>
        <w:t xml:space="preserve"> it.</w:t>
      </w:r>
    </w:p>
    <w:p w14:paraId="6B482CA6" w14:textId="21CEA04A" w:rsidR="00632C10" w:rsidRPr="00D74466" w:rsidRDefault="00E82B6A" w:rsidP="003D5125">
      <w:pPr>
        <w:pStyle w:val="NormalWeb"/>
        <w:spacing w:line="276" w:lineRule="auto"/>
        <w:jc w:val="both"/>
        <w:rPr>
          <w:rFonts w:ascii="Arial" w:hAnsi="Arial" w:cs="Arial"/>
          <w:b/>
          <w:bCs/>
          <w:sz w:val="21"/>
          <w:szCs w:val="21"/>
        </w:rPr>
      </w:pPr>
      <w:commentRangeStart w:id="11"/>
      <w:r w:rsidRPr="00D74466">
        <w:rPr>
          <w:rFonts w:ascii="Arial" w:hAnsi="Arial" w:cs="Arial"/>
          <w:b/>
          <w:bCs/>
          <w:sz w:val="21"/>
          <w:szCs w:val="21"/>
        </w:rPr>
        <w:t xml:space="preserve">Question </w:t>
      </w:r>
      <w:r w:rsidR="00632C10" w:rsidRPr="00D74466">
        <w:rPr>
          <w:rFonts w:ascii="Arial" w:hAnsi="Arial" w:cs="Arial"/>
          <w:b/>
          <w:bCs/>
          <w:sz w:val="21"/>
          <w:szCs w:val="21"/>
        </w:rPr>
        <w:t>2.6</w:t>
      </w:r>
      <w:r w:rsidRPr="00D74466">
        <w:rPr>
          <w:rFonts w:ascii="Arial" w:hAnsi="Arial" w:cs="Arial"/>
          <w:b/>
          <w:bCs/>
          <w:sz w:val="21"/>
          <w:szCs w:val="21"/>
        </w:rPr>
        <w:t xml:space="preserve">: </w:t>
      </w:r>
    </w:p>
    <w:p w14:paraId="35733071" w14:textId="4E7EA336"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Do you have views on whether the end-dates should </w:t>
      </w:r>
      <w:proofErr w:type="gramStart"/>
      <w:r w:rsidRPr="00D74466">
        <w:rPr>
          <w:rFonts w:ascii="Arial" w:hAnsi="Arial" w:cs="Arial"/>
          <w:b/>
          <w:bCs/>
          <w:sz w:val="21"/>
          <w:szCs w:val="21"/>
        </w:rPr>
        <w:t>take into account</w:t>
      </w:r>
      <w:proofErr w:type="gramEnd"/>
      <w:r w:rsidRPr="00D74466">
        <w:rPr>
          <w:rFonts w:ascii="Arial" w:hAnsi="Arial" w:cs="Arial"/>
          <w:b/>
          <w:bCs/>
          <w:sz w:val="21"/>
          <w:szCs w:val="21"/>
        </w:rPr>
        <w:t xml:space="preserve"> only current known or likely works, or if it should allow time for wider developments to take place?</w:t>
      </w:r>
    </w:p>
    <w:p w14:paraId="2706778B" w14:textId="77777777" w:rsidR="00107377" w:rsidRPr="00D74466" w:rsidRDefault="00107377" w:rsidP="003D5125">
      <w:pPr>
        <w:pStyle w:val="NormalWeb"/>
        <w:spacing w:line="276" w:lineRule="auto"/>
        <w:jc w:val="both"/>
        <w:rPr>
          <w:rFonts w:ascii="Arial" w:hAnsi="Arial" w:cs="Arial"/>
          <w:b/>
          <w:bCs/>
          <w:sz w:val="21"/>
          <w:szCs w:val="21"/>
        </w:rPr>
      </w:pPr>
    </w:p>
    <w:p w14:paraId="65AA93EA" w14:textId="75891563" w:rsidR="00632C10"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632C10" w:rsidRPr="00D74466">
        <w:rPr>
          <w:rFonts w:ascii="Arial" w:hAnsi="Arial" w:cs="Arial"/>
          <w:b/>
          <w:bCs/>
          <w:sz w:val="21"/>
          <w:szCs w:val="21"/>
        </w:rPr>
        <w:t>2.7</w:t>
      </w:r>
      <w:r w:rsidRPr="00D74466">
        <w:rPr>
          <w:rFonts w:ascii="Arial" w:hAnsi="Arial" w:cs="Arial"/>
          <w:b/>
          <w:bCs/>
          <w:sz w:val="21"/>
          <w:szCs w:val="21"/>
        </w:rPr>
        <w:t xml:space="preserve">: </w:t>
      </w:r>
    </w:p>
    <w:p w14:paraId="367A2D83" w14:textId="26936187" w:rsidR="00E82B6A"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you have any comment on our proposal not to further define or standardise time-profiled access arrangements?</w:t>
      </w:r>
      <w:commentRangeEnd w:id="11"/>
      <w:r w:rsidR="00D07D04" w:rsidRPr="00D74466">
        <w:rPr>
          <w:rStyle w:val="CommentReference"/>
          <w:rFonts w:ascii="Arial" w:eastAsiaTheme="minorHAnsi" w:hAnsi="Arial" w:cs="Arial"/>
          <w:b/>
          <w:bCs/>
          <w:sz w:val="21"/>
          <w:szCs w:val="21"/>
          <w:lang w:eastAsia="en-US"/>
        </w:rPr>
        <w:commentReference w:id="11"/>
      </w:r>
    </w:p>
    <w:p w14:paraId="0830BDA8" w14:textId="7C0C998C" w:rsidR="00E82B6A" w:rsidRPr="00D74466" w:rsidRDefault="00E82B6A" w:rsidP="003D5125">
      <w:pPr>
        <w:pStyle w:val="NormalWeb"/>
        <w:numPr>
          <w:ilvl w:val="0"/>
          <w:numId w:val="2"/>
        </w:numPr>
        <w:spacing w:line="276" w:lineRule="auto"/>
        <w:jc w:val="both"/>
        <w:rPr>
          <w:rFonts w:ascii="Arial" w:hAnsi="Arial" w:cs="Arial"/>
          <w:b/>
          <w:bCs/>
          <w:sz w:val="21"/>
          <w:szCs w:val="21"/>
        </w:rPr>
      </w:pPr>
      <w:r w:rsidRPr="00D74466">
        <w:rPr>
          <w:rFonts w:ascii="Arial" w:hAnsi="Arial" w:cs="Arial"/>
          <w:b/>
          <w:bCs/>
          <w:sz w:val="21"/>
          <w:szCs w:val="21"/>
        </w:rPr>
        <w:t>General questions</w:t>
      </w:r>
    </w:p>
    <w:p w14:paraId="2B23B984" w14:textId="77777777" w:rsidR="00107377"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107377" w:rsidRPr="00D74466">
        <w:rPr>
          <w:rFonts w:ascii="Arial" w:hAnsi="Arial" w:cs="Arial"/>
          <w:b/>
          <w:bCs/>
          <w:sz w:val="21"/>
          <w:szCs w:val="21"/>
        </w:rPr>
        <w:t>3.1</w:t>
      </w:r>
      <w:r w:rsidRPr="00D74466">
        <w:rPr>
          <w:rFonts w:ascii="Arial" w:hAnsi="Arial" w:cs="Arial"/>
          <w:b/>
          <w:bCs/>
          <w:sz w:val="21"/>
          <w:szCs w:val="21"/>
        </w:rPr>
        <w:t xml:space="preserve">: </w:t>
      </w:r>
    </w:p>
    <w:p w14:paraId="66683DA4" w14:textId="2A27C761" w:rsidR="00107377" w:rsidRPr="00D74466" w:rsidRDefault="00E82B6A"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Has the additional information in this consultation affected any of the views your previously submitted in response to our June 2021 consultation (if so, in what way)?</w:t>
      </w:r>
    </w:p>
    <w:p w14:paraId="531896EC" w14:textId="77777777" w:rsidR="00107377" w:rsidRPr="00D74466" w:rsidRDefault="00107377" w:rsidP="003D5125">
      <w:pPr>
        <w:pStyle w:val="NormalWeb"/>
        <w:spacing w:line="276" w:lineRule="auto"/>
        <w:jc w:val="both"/>
        <w:rPr>
          <w:rFonts w:ascii="Arial" w:hAnsi="Arial" w:cs="Arial"/>
          <w:b/>
          <w:bCs/>
          <w:sz w:val="21"/>
          <w:szCs w:val="21"/>
        </w:rPr>
      </w:pPr>
    </w:p>
    <w:p w14:paraId="6AB247AB" w14:textId="77777777" w:rsidR="00107377" w:rsidRPr="00D74466" w:rsidRDefault="00BB4B48"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 xml:space="preserve">Question </w:t>
      </w:r>
      <w:r w:rsidR="00107377" w:rsidRPr="00D74466">
        <w:rPr>
          <w:rFonts w:ascii="Arial" w:hAnsi="Arial" w:cs="Arial"/>
          <w:b/>
          <w:bCs/>
          <w:sz w:val="21"/>
          <w:szCs w:val="21"/>
        </w:rPr>
        <w:t>3.2</w:t>
      </w:r>
      <w:r w:rsidRPr="00D74466">
        <w:rPr>
          <w:rFonts w:ascii="Arial" w:hAnsi="Arial" w:cs="Arial"/>
          <w:b/>
          <w:bCs/>
          <w:sz w:val="21"/>
          <w:szCs w:val="21"/>
        </w:rPr>
        <w:t xml:space="preserve">: </w:t>
      </w:r>
    </w:p>
    <w:p w14:paraId="79080BFA" w14:textId="52870AD4" w:rsidR="00AF2A44" w:rsidRPr="00D74466" w:rsidRDefault="00BB4B48"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t>Do you have any other information relevant to the subject matter of this consultation that we should consider in developing our proposals?</w:t>
      </w:r>
      <w:r w:rsidRPr="00D74466">
        <w:rPr>
          <w:rFonts w:ascii="Arial" w:hAnsi="Arial" w:cs="Arial"/>
          <w:b/>
          <w:bCs/>
          <w:sz w:val="21"/>
          <w:szCs w:val="21"/>
        </w:rPr>
        <w:cr/>
      </w:r>
    </w:p>
    <w:p w14:paraId="551273AB" w14:textId="1C84AFB3" w:rsidR="00D07D04" w:rsidRPr="00D74466" w:rsidRDefault="00D07D04" w:rsidP="003D5125">
      <w:pPr>
        <w:pStyle w:val="NormalWeb"/>
        <w:spacing w:line="276" w:lineRule="auto"/>
        <w:jc w:val="both"/>
        <w:rPr>
          <w:rFonts w:ascii="Arial" w:hAnsi="Arial" w:cs="Arial"/>
          <w:b/>
          <w:bCs/>
          <w:sz w:val="21"/>
          <w:szCs w:val="21"/>
        </w:rPr>
      </w:pPr>
      <w:r w:rsidRPr="00D74466">
        <w:rPr>
          <w:rFonts w:ascii="Arial" w:hAnsi="Arial" w:cs="Arial"/>
          <w:b/>
          <w:bCs/>
          <w:sz w:val="21"/>
          <w:szCs w:val="21"/>
        </w:rPr>
        <w:lastRenderedPageBreak/>
        <w:t>Response to Q3.1- 3.2</w:t>
      </w:r>
    </w:p>
    <w:p w14:paraId="3154606A" w14:textId="1A306007" w:rsidR="00D07D04" w:rsidRPr="00D74466" w:rsidRDefault="00D07D04" w:rsidP="003D5125">
      <w:pPr>
        <w:pStyle w:val="NormalWeb"/>
        <w:spacing w:line="276" w:lineRule="auto"/>
        <w:jc w:val="both"/>
        <w:rPr>
          <w:rFonts w:ascii="Arial" w:hAnsi="Arial" w:cs="Arial"/>
          <w:sz w:val="21"/>
          <w:szCs w:val="21"/>
        </w:rPr>
      </w:pPr>
      <w:r w:rsidRPr="00D74466">
        <w:rPr>
          <w:rFonts w:ascii="Arial" w:hAnsi="Arial" w:cs="Arial"/>
          <w:sz w:val="21"/>
          <w:szCs w:val="21"/>
        </w:rPr>
        <w:t xml:space="preserve">We would like to highlight that it is positive to see that the section about </w:t>
      </w:r>
      <w:r w:rsidR="0063675C" w:rsidRPr="00D74466">
        <w:rPr>
          <w:rFonts w:ascii="Arial" w:hAnsi="Arial" w:cs="Arial"/>
          <w:sz w:val="21"/>
          <w:szCs w:val="21"/>
        </w:rPr>
        <w:t>TNUoS</w:t>
      </w:r>
      <w:r w:rsidRPr="00D74466">
        <w:rPr>
          <w:rFonts w:ascii="Arial" w:hAnsi="Arial" w:cs="Arial"/>
          <w:sz w:val="21"/>
          <w:szCs w:val="21"/>
        </w:rPr>
        <w:t xml:space="preserve"> has been remove</w:t>
      </w:r>
      <w:r w:rsidR="0063675C" w:rsidRPr="00D74466">
        <w:rPr>
          <w:rFonts w:ascii="Arial" w:hAnsi="Arial" w:cs="Arial"/>
          <w:sz w:val="21"/>
          <w:szCs w:val="21"/>
        </w:rPr>
        <w:t>d</w:t>
      </w:r>
      <w:r w:rsidRPr="00D74466">
        <w:rPr>
          <w:rFonts w:ascii="Arial" w:hAnsi="Arial" w:cs="Arial"/>
          <w:sz w:val="21"/>
          <w:szCs w:val="21"/>
        </w:rPr>
        <w:t xml:space="preserve"> from this consultation</w:t>
      </w:r>
      <w:r w:rsidR="0063675C" w:rsidRPr="00D74466">
        <w:rPr>
          <w:rFonts w:ascii="Arial" w:hAnsi="Arial" w:cs="Arial"/>
          <w:sz w:val="21"/>
          <w:szCs w:val="21"/>
        </w:rPr>
        <w:t>,</w:t>
      </w:r>
      <w:r w:rsidRPr="00D74466">
        <w:rPr>
          <w:rFonts w:ascii="Arial" w:hAnsi="Arial" w:cs="Arial"/>
          <w:sz w:val="21"/>
          <w:szCs w:val="21"/>
        </w:rPr>
        <w:t xml:space="preserve"> and </w:t>
      </w:r>
      <w:r w:rsidR="006B7D2F" w:rsidRPr="00D74466">
        <w:rPr>
          <w:rFonts w:ascii="Arial" w:hAnsi="Arial" w:cs="Arial"/>
          <w:sz w:val="21"/>
          <w:szCs w:val="21"/>
        </w:rPr>
        <w:t xml:space="preserve">the </w:t>
      </w:r>
      <w:r w:rsidR="0063675C" w:rsidRPr="00D74466">
        <w:rPr>
          <w:rFonts w:ascii="Arial" w:hAnsi="Arial" w:cs="Arial"/>
          <w:sz w:val="21"/>
          <w:szCs w:val="21"/>
        </w:rPr>
        <w:t>decision about extending TNUoS charges to SDG has been delayed subject to the results of the recent call for evidence.</w:t>
      </w:r>
    </w:p>
    <w:p w14:paraId="2D4692CA" w14:textId="475D1A77" w:rsidR="0063675C" w:rsidRPr="00D74466" w:rsidRDefault="00147456" w:rsidP="003D5125">
      <w:pPr>
        <w:pStyle w:val="NormalWeb"/>
        <w:spacing w:line="276" w:lineRule="auto"/>
        <w:jc w:val="both"/>
        <w:rPr>
          <w:rFonts w:ascii="Arial" w:hAnsi="Arial" w:cs="Arial"/>
          <w:sz w:val="21"/>
          <w:szCs w:val="21"/>
        </w:rPr>
      </w:pPr>
      <w:r w:rsidRPr="00D74466">
        <w:rPr>
          <w:rFonts w:ascii="Arial" w:hAnsi="Arial" w:cs="Arial"/>
          <w:sz w:val="21"/>
          <w:szCs w:val="21"/>
        </w:rPr>
        <w:t>On the other hand, w</w:t>
      </w:r>
      <w:r w:rsidR="00160085" w:rsidRPr="00D74466">
        <w:rPr>
          <w:rFonts w:ascii="Arial" w:hAnsi="Arial" w:cs="Arial"/>
          <w:sz w:val="21"/>
          <w:szCs w:val="21"/>
        </w:rPr>
        <w:t>e would like to</w:t>
      </w:r>
      <w:r w:rsidRPr="00D74466">
        <w:rPr>
          <w:rFonts w:ascii="Arial" w:hAnsi="Arial" w:cs="Arial"/>
          <w:sz w:val="21"/>
          <w:szCs w:val="21"/>
        </w:rPr>
        <w:t xml:space="preserve"> raise our concern about</w:t>
      </w:r>
      <w:r w:rsidR="00160085" w:rsidRPr="00D74466">
        <w:rPr>
          <w:rFonts w:ascii="Arial" w:hAnsi="Arial" w:cs="Arial"/>
          <w:sz w:val="21"/>
          <w:szCs w:val="21"/>
        </w:rPr>
        <w:t xml:space="preserve"> the uncertainty that generators are experiencing with the different ongoing reforms</w:t>
      </w:r>
      <w:r w:rsidR="005A75ED" w:rsidRPr="00D74466">
        <w:rPr>
          <w:rFonts w:ascii="Arial" w:hAnsi="Arial" w:cs="Arial"/>
          <w:sz w:val="21"/>
          <w:szCs w:val="21"/>
        </w:rPr>
        <w:t xml:space="preserve">, including the </w:t>
      </w:r>
      <w:r w:rsidR="00C436EC" w:rsidRPr="00D74466">
        <w:rPr>
          <w:rFonts w:ascii="Arial" w:hAnsi="Arial" w:cs="Arial"/>
          <w:sz w:val="21"/>
          <w:szCs w:val="21"/>
        </w:rPr>
        <w:t xml:space="preserve">uncertainty around the </w:t>
      </w:r>
      <w:r w:rsidR="00160085" w:rsidRPr="00D74466">
        <w:rPr>
          <w:rFonts w:ascii="Arial" w:hAnsi="Arial" w:cs="Arial"/>
          <w:sz w:val="21"/>
          <w:szCs w:val="21"/>
        </w:rPr>
        <w:t>lack of financially firm access arrangements to the transmission system</w:t>
      </w:r>
      <w:r w:rsidR="005A75ED" w:rsidRPr="00D74466">
        <w:rPr>
          <w:rFonts w:ascii="Arial" w:hAnsi="Arial" w:cs="Arial"/>
          <w:sz w:val="21"/>
          <w:szCs w:val="21"/>
        </w:rPr>
        <w:t>,</w:t>
      </w:r>
      <w:r w:rsidR="00C436EC" w:rsidRPr="00D74466">
        <w:rPr>
          <w:rFonts w:ascii="Arial" w:hAnsi="Arial" w:cs="Arial"/>
          <w:sz w:val="21"/>
          <w:szCs w:val="21"/>
        </w:rPr>
        <w:t xml:space="preserve"> which is not in the scope of this reform.</w:t>
      </w:r>
    </w:p>
    <w:p w14:paraId="4FC4F34B" w14:textId="30184314" w:rsidR="00A86481" w:rsidRPr="00D74466" w:rsidRDefault="00A86481" w:rsidP="003D5125">
      <w:pPr>
        <w:pStyle w:val="NormalWeb"/>
        <w:spacing w:line="276" w:lineRule="auto"/>
        <w:jc w:val="both"/>
        <w:rPr>
          <w:rFonts w:ascii="Arial" w:hAnsi="Arial" w:cs="Arial"/>
          <w:sz w:val="21"/>
          <w:szCs w:val="21"/>
        </w:rPr>
      </w:pPr>
      <w:r w:rsidRPr="00D74466">
        <w:rPr>
          <w:rFonts w:ascii="Arial" w:hAnsi="Arial" w:cs="Arial"/>
          <w:sz w:val="21"/>
          <w:szCs w:val="21"/>
        </w:rPr>
        <w:t xml:space="preserve">Finally, </w:t>
      </w:r>
      <w:r w:rsidR="00B51553" w:rsidRPr="00D74466">
        <w:rPr>
          <w:rFonts w:ascii="Arial" w:hAnsi="Arial" w:cs="Arial"/>
          <w:sz w:val="21"/>
          <w:szCs w:val="21"/>
        </w:rPr>
        <w:t>Scottish Renewables thinks that it</w:t>
      </w:r>
      <w:r w:rsidR="005A75ED" w:rsidRPr="00D74466">
        <w:rPr>
          <w:rFonts w:ascii="Arial" w:hAnsi="Arial" w:cs="Arial"/>
          <w:sz w:val="21"/>
          <w:szCs w:val="21"/>
        </w:rPr>
        <w:t xml:space="preserve"> </w:t>
      </w:r>
      <w:r w:rsidR="004D154B">
        <w:rPr>
          <w:rFonts w:ascii="Arial" w:hAnsi="Arial" w:cs="Arial"/>
          <w:sz w:val="21"/>
          <w:szCs w:val="21"/>
        </w:rPr>
        <w:t xml:space="preserve">is </w:t>
      </w:r>
      <w:r w:rsidR="00B51553" w:rsidRPr="00D74466">
        <w:rPr>
          <w:rFonts w:ascii="Arial" w:hAnsi="Arial" w:cs="Arial"/>
          <w:sz w:val="21"/>
          <w:szCs w:val="21"/>
        </w:rPr>
        <w:t xml:space="preserve">important </w:t>
      </w:r>
      <w:r w:rsidR="005A75ED" w:rsidRPr="00D74466">
        <w:rPr>
          <w:rFonts w:ascii="Arial" w:hAnsi="Arial" w:cs="Arial"/>
          <w:sz w:val="21"/>
          <w:szCs w:val="21"/>
        </w:rPr>
        <w:t>that before developing any further proposals, Ofgem review</w:t>
      </w:r>
      <w:r w:rsidR="00B51553" w:rsidRPr="00D74466">
        <w:rPr>
          <w:rFonts w:ascii="Arial" w:hAnsi="Arial" w:cs="Arial"/>
          <w:sz w:val="21"/>
          <w:szCs w:val="21"/>
        </w:rPr>
        <w:t>s</w:t>
      </w:r>
      <w:r w:rsidR="005A75ED" w:rsidRPr="00D74466">
        <w:rPr>
          <w:rFonts w:ascii="Arial" w:hAnsi="Arial" w:cs="Arial"/>
          <w:sz w:val="21"/>
          <w:szCs w:val="21"/>
        </w:rPr>
        <w:t xml:space="preserve"> the quantitative analyses performed in the Access SCR last year. W</w:t>
      </w:r>
      <w:r w:rsidRPr="00D74466">
        <w:rPr>
          <w:rFonts w:ascii="Arial" w:hAnsi="Arial" w:cs="Arial"/>
          <w:sz w:val="21"/>
          <w:szCs w:val="21"/>
        </w:rPr>
        <w:t xml:space="preserve">hen we responded to </w:t>
      </w:r>
      <w:r w:rsidR="005A75ED" w:rsidRPr="00D74466">
        <w:rPr>
          <w:rFonts w:ascii="Arial" w:hAnsi="Arial" w:cs="Arial"/>
          <w:sz w:val="21"/>
          <w:szCs w:val="21"/>
        </w:rPr>
        <w:t xml:space="preserve">that consultation in </w:t>
      </w:r>
      <w:r w:rsidR="00CE557B" w:rsidRPr="00D74466">
        <w:rPr>
          <w:rFonts w:ascii="Arial" w:hAnsi="Arial" w:cs="Arial"/>
          <w:sz w:val="21"/>
          <w:szCs w:val="21"/>
        </w:rPr>
        <w:t>August</w:t>
      </w:r>
      <w:r w:rsidR="005A75ED" w:rsidRPr="00D74466">
        <w:rPr>
          <w:rFonts w:ascii="Arial" w:hAnsi="Arial" w:cs="Arial"/>
          <w:sz w:val="21"/>
          <w:szCs w:val="21"/>
        </w:rPr>
        <w:t xml:space="preserve"> </w:t>
      </w:r>
      <w:r w:rsidRPr="00D74466">
        <w:rPr>
          <w:rFonts w:ascii="Arial" w:hAnsi="Arial" w:cs="Arial"/>
          <w:sz w:val="21"/>
          <w:szCs w:val="21"/>
        </w:rPr>
        <w:t xml:space="preserve">last year, we highlighted that the quantitative analysis that assessed the option of applying TNUoS charges to SDG had significant flaws, which we felt needed to be addressed to gain comfort that there was an overall net benefit. We noted that in the analysis, Ofgem ignored many variables that a renewable planning system </w:t>
      </w:r>
      <w:proofErr w:type="gramStart"/>
      <w:r w:rsidRPr="00D74466">
        <w:rPr>
          <w:rFonts w:ascii="Arial" w:hAnsi="Arial" w:cs="Arial"/>
          <w:sz w:val="21"/>
          <w:szCs w:val="21"/>
        </w:rPr>
        <w:t>needs</w:t>
      </w:r>
      <w:proofErr w:type="gramEnd"/>
      <w:r w:rsidRPr="00D74466">
        <w:rPr>
          <w:rFonts w:ascii="Arial" w:hAnsi="Arial" w:cs="Arial"/>
          <w:sz w:val="21"/>
          <w:szCs w:val="21"/>
        </w:rPr>
        <w:t>. Consequently, the proposal was based on a cost analysis that did not reflect the complexity of the energy planning network. The detail of this information can be seen in Annex 1.</w:t>
      </w:r>
    </w:p>
    <w:p w14:paraId="1F0285A3" w14:textId="77777777" w:rsidR="00A86481" w:rsidRPr="00D74466" w:rsidRDefault="00A86481" w:rsidP="003D5125">
      <w:pPr>
        <w:spacing w:before="100" w:beforeAutospacing="1" w:after="100" w:afterAutospacing="1"/>
        <w:jc w:val="both"/>
        <w:rPr>
          <w:rFonts w:ascii="Arial" w:eastAsia="Times New Roman" w:hAnsi="Arial" w:cs="Arial"/>
          <w:sz w:val="21"/>
          <w:szCs w:val="21"/>
          <w:lang w:eastAsia="en-GB"/>
        </w:rPr>
      </w:pPr>
      <w:r w:rsidRPr="00D74466">
        <w:rPr>
          <w:rFonts w:ascii="Arial" w:eastAsia="Times New Roman" w:hAnsi="Arial" w:cs="Arial"/>
          <w:sz w:val="21"/>
          <w:szCs w:val="21"/>
          <w:lang w:eastAsia="en-GB"/>
        </w:rPr>
        <w:t xml:space="preserve">We think that </w:t>
      </w:r>
      <w:proofErr w:type="gramStart"/>
      <w:r w:rsidRPr="00D74466">
        <w:rPr>
          <w:rFonts w:ascii="Arial" w:eastAsia="Times New Roman" w:hAnsi="Arial" w:cs="Arial"/>
          <w:sz w:val="21"/>
          <w:szCs w:val="21"/>
          <w:lang w:eastAsia="en-GB"/>
        </w:rPr>
        <w:t>in light of</w:t>
      </w:r>
      <w:proofErr w:type="gramEnd"/>
      <w:r w:rsidRPr="00D74466">
        <w:rPr>
          <w:rFonts w:ascii="Arial" w:eastAsia="Times New Roman" w:hAnsi="Arial" w:cs="Arial"/>
          <w:sz w:val="21"/>
          <w:szCs w:val="21"/>
          <w:lang w:eastAsia="en-GB"/>
        </w:rPr>
        <w:t xml:space="preserve"> this new phased approach and the review of TNUoS charges, Ofgem needs to review the quantitative analysis of the recent Access SCR and update it before confirming the implementation of TNUoS charges for SDG. We think there is a strong case to review the net benefit impact of the Access SCR which may change the overall outcome of the proposal.</w:t>
      </w:r>
    </w:p>
    <w:p w14:paraId="766D8DC6" w14:textId="75FC23FF" w:rsidR="00AF2A44" w:rsidRPr="00D74466" w:rsidRDefault="00AF2A44" w:rsidP="003D5125">
      <w:pPr>
        <w:spacing w:before="100" w:beforeAutospacing="1" w:after="100" w:afterAutospacing="1"/>
        <w:rPr>
          <w:rFonts w:ascii="Arial" w:eastAsia="Times New Roman" w:hAnsi="Arial" w:cs="Arial"/>
          <w:sz w:val="21"/>
          <w:szCs w:val="21"/>
          <w:lang w:eastAsia="en-GB"/>
        </w:rPr>
      </w:pPr>
      <w:r w:rsidRPr="00D74466">
        <w:rPr>
          <w:rFonts w:ascii="Arial" w:hAnsi="Arial" w:cs="Arial"/>
          <w:sz w:val="21"/>
          <w:szCs w:val="21"/>
        </w:rPr>
        <w:br w:type="page"/>
      </w:r>
    </w:p>
    <w:p w14:paraId="2EC1D661" w14:textId="77777777" w:rsidR="00CC101C" w:rsidRPr="00D74466" w:rsidRDefault="00CC101C" w:rsidP="003D5125">
      <w:pPr>
        <w:spacing w:before="100" w:beforeAutospacing="1" w:after="100" w:afterAutospacing="1"/>
        <w:rPr>
          <w:rFonts w:ascii="Arial" w:hAnsi="Arial" w:cs="Arial"/>
          <w:b/>
          <w:bCs/>
          <w:sz w:val="21"/>
          <w:szCs w:val="21"/>
        </w:rPr>
      </w:pPr>
      <w:r w:rsidRPr="00D74466">
        <w:rPr>
          <w:rFonts w:ascii="Arial" w:hAnsi="Arial" w:cs="Arial"/>
          <w:b/>
          <w:bCs/>
          <w:sz w:val="21"/>
          <w:szCs w:val="21"/>
        </w:rPr>
        <w:lastRenderedPageBreak/>
        <w:t>ANNEX 1</w:t>
      </w:r>
    </w:p>
    <w:p w14:paraId="5D4A1B88" w14:textId="77777777" w:rsidR="00CC101C" w:rsidRPr="00D74466" w:rsidRDefault="00CC101C" w:rsidP="003D5125">
      <w:pPr>
        <w:spacing w:before="100" w:beforeAutospacing="1" w:after="100" w:afterAutospacing="1"/>
        <w:jc w:val="both"/>
        <w:rPr>
          <w:rFonts w:ascii="Arial" w:hAnsi="Arial" w:cs="Arial"/>
          <w:b/>
          <w:bCs/>
          <w:sz w:val="21"/>
          <w:szCs w:val="21"/>
        </w:rPr>
      </w:pPr>
      <w:r w:rsidRPr="00D74466">
        <w:rPr>
          <w:rFonts w:ascii="Arial" w:hAnsi="Arial" w:cs="Arial"/>
          <w:b/>
          <w:bCs/>
          <w:sz w:val="21"/>
          <w:szCs w:val="21"/>
        </w:rPr>
        <w:t xml:space="preserve">Material flaws in the Quantitative Analysis when TNUoS is applied to SDG - </w:t>
      </w:r>
      <w:r w:rsidRPr="00D74466">
        <w:rPr>
          <w:rFonts w:ascii="Arial" w:hAnsi="Arial" w:cs="Arial"/>
          <w:b/>
          <w:bCs/>
          <w:color w:val="000000"/>
          <w:sz w:val="21"/>
          <w:szCs w:val="21"/>
        </w:rPr>
        <w:t>Access and Forward-looking Charges Significant Code Review: Consultation on Minded to Positions</w:t>
      </w:r>
    </w:p>
    <w:p w14:paraId="7F0F1781"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The accompanying CEPA-TNEI quantitative analysis has </w:t>
      </w:r>
      <w:proofErr w:type="gramStart"/>
      <w:r w:rsidRPr="00D74466">
        <w:rPr>
          <w:rFonts w:ascii="Arial" w:hAnsi="Arial" w:cs="Arial"/>
          <w:sz w:val="21"/>
          <w:szCs w:val="21"/>
        </w:rPr>
        <w:t>a number of</w:t>
      </w:r>
      <w:proofErr w:type="gramEnd"/>
      <w:r w:rsidRPr="00D74466">
        <w:rPr>
          <w:rFonts w:ascii="Arial" w:hAnsi="Arial" w:cs="Arial"/>
          <w:sz w:val="21"/>
          <w:szCs w:val="21"/>
        </w:rPr>
        <w:t xml:space="preserve"> serious flaws which in our view provide misleading conclusions. We know that members wrote to Ofgem seeking clarification of the modelling detail, but that to date these concerns have not been addressed; we hope that these can usefully improve the analysis, notably in the case that the analysis needs to be repeated </w:t>
      </w:r>
      <w:proofErr w:type="gramStart"/>
      <w:r w:rsidRPr="00D74466">
        <w:rPr>
          <w:rFonts w:ascii="Arial" w:hAnsi="Arial" w:cs="Arial"/>
          <w:sz w:val="21"/>
          <w:szCs w:val="21"/>
        </w:rPr>
        <w:t>in light of</w:t>
      </w:r>
      <w:proofErr w:type="gramEnd"/>
      <w:r w:rsidRPr="00D74466">
        <w:rPr>
          <w:rFonts w:ascii="Arial" w:hAnsi="Arial" w:cs="Arial"/>
          <w:sz w:val="21"/>
          <w:szCs w:val="21"/>
        </w:rPr>
        <w:t xml:space="preserve"> a wider TNUoS review.</w:t>
      </w:r>
    </w:p>
    <w:p w14:paraId="0105ADAC"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It is welcome that </w:t>
      </w:r>
      <w:proofErr w:type="gramStart"/>
      <w:r w:rsidRPr="00D74466">
        <w:rPr>
          <w:rFonts w:ascii="Arial" w:hAnsi="Arial" w:cs="Arial"/>
          <w:sz w:val="21"/>
          <w:szCs w:val="21"/>
        </w:rPr>
        <w:t>a number of</w:t>
      </w:r>
      <w:proofErr w:type="gramEnd"/>
      <w:r w:rsidRPr="00D74466">
        <w:rPr>
          <w:rFonts w:ascii="Arial" w:hAnsi="Arial" w:cs="Arial"/>
          <w:sz w:val="21"/>
          <w:szCs w:val="21"/>
        </w:rPr>
        <w:t xml:space="preserve"> the flaws have been acknowledged in the report – such as the unrealistic assumptions around planning consent and the unknown pipeline for replacement projects in other regions – but there are further issues which call into question the resulting conclusions. In our view a subsequent analysis which would take consideration of the issues which we have outlined below could well show that the minded-to position results in a net disbenefit to consumers and more certainly an increase in carbon emissions.</w:t>
      </w:r>
    </w:p>
    <w:p w14:paraId="51E4520F" w14:textId="77777777" w:rsidR="00CC101C" w:rsidRPr="00D74466" w:rsidRDefault="00CC101C" w:rsidP="003D5125">
      <w:pPr>
        <w:spacing w:before="100" w:beforeAutospacing="1" w:after="100" w:afterAutospacing="1"/>
        <w:ind w:left="360"/>
        <w:jc w:val="both"/>
        <w:rPr>
          <w:rFonts w:ascii="Arial" w:hAnsi="Arial" w:cs="Arial"/>
          <w:sz w:val="21"/>
          <w:szCs w:val="21"/>
        </w:rPr>
      </w:pPr>
      <w:r w:rsidRPr="00D74466">
        <w:rPr>
          <w:rFonts w:ascii="Arial" w:hAnsi="Arial" w:cs="Arial"/>
          <w:sz w:val="21"/>
          <w:szCs w:val="21"/>
        </w:rPr>
        <w:t>Key flaws include:</w:t>
      </w:r>
    </w:p>
    <w:p w14:paraId="3F2CFA98" w14:textId="77777777" w:rsidR="00CC101C" w:rsidRPr="00D74466" w:rsidRDefault="00CC101C" w:rsidP="003D5125">
      <w:pPr>
        <w:spacing w:before="100" w:beforeAutospacing="1" w:after="100" w:afterAutospacing="1"/>
        <w:ind w:left="360"/>
        <w:jc w:val="both"/>
        <w:rPr>
          <w:rFonts w:ascii="Arial" w:hAnsi="Arial" w:cs="Arial"/>
          <w:sz w:val="21"/>
          <w:szCs w:val="21"/>
        </w:rPr>
      </w:pPr>
      <w:r w:rsidRPr="00D74466">
        <w:rPr>
          <w:rFonts w:ascii="Arial" w:hAnsi="Arial" w:cs="Arial"/>
          <w:sz w:val="21"/>
          <w:szCs w:val="21"/>
        </w:rPr>
        <w:t>•</w:t>
      </w:r>
      <w:r w:rsidRPr="00D74466">
        <w:rPr>
          <w:rFonts w:ascii="Arial" w:hAnsi="Arial" w:cs="Arial"/>
          <w:sz w:val="21"/>
          <w:szCs w:val="21"/>
        </w:rPr>
        <w:tab/>
        <w:t>Misapplication of TNUoS credits</w:t>
      </w:r>
    </w:p>
    <w:p w14:paraId="3B9662CD" w14:textId="77777777" w:rsidR="00CC101C" w:rsidRPr="00D74466" w:rsidRDefault="00CC101C" w:rsidP="003D5125">
      <w:pPr>
        <w:spacing w:before="100" w:beforeAutospacing="1" w:after="100" w:afterAutospacing="1"/>
        <w:ind w:left="360"/>
        <w:jc w:val="both"/>
        <w:rPr>
          <w:rFonts w:ascii="Arial" w:hAnsi="Arial" w:cs="Arial"/>
          <w:sz w:val="21"/>
          <w:szCs w:val="21"/>
        </w:rPr>
      </w:pPr>
      <w:r w:rsidRPr="00D74466">
        <w:rPr>
          <w:rFonts w:ascii="Arial" w:hAnsi="Arial" w:cs="Arial"/>
          <w:sz w:val="21"/>
          <w:szCs w:val="21"/>
        </w:rPr>
        <w:t>•</w:t>
      </w:r>
      <w:r w:rsidRPr="00D74466">
        <w:rPr>
          <w:rFonts w:ascii="Arial" w:hAnsi="Arial" w:cs="Arial"/>
          <w:sz w:val="21"/>
          <w:szCs w:val="21"/>
        </w:rPr>
        <w:tab/>
        <w:t>Misapplication of revenue-replacement support costs</w:t>
      </w:r>
    </w:p>
    <w:p w14:paraId="13591430" w14:textId="77777777" w:rsidR="00CC101C" w:rsidRPr="00D74466" w:rsidRDefault="00CC101C" w:rsidP="003D5125">
      <w:pPr>
        <w:spacing w:before="100" w:beforeAutospacing="1" w:after="100" w:afterAutospacing="1"/>
        <w:ind w:left="360"/>
        <w:jc w:val="both"/>
        <w:rPr>
          <w:rFonts w:ascii="Arial" w:hAnsi="Arial" w:cs="Arial"/>
          <w:sz w:val="21"/>
          <w:szCs w:val="21"/>
        </w:rPr>
      </w:pPr>
      <w:r w:rsidRPr="00D74466">
        <w:rPr>
          <w:rFonts w:ascii="Arial" w:hAnsi="Arial" w:cs="Arial"/>
          <w:sz w:val="21"/>
          <w:szCs w:val="21"/>
        </w:rPr>
        <w:t>•</w:t>
      </w:r>
      <w:r w:rsidRPr="00D74466">
        <w:rPr>
          <w:rFonts w:ascii="Arial" w:hAnsi="Arial" w:cs="Arial"/>
          <w:sz w:val="21"/>
          <w:szCs w:val="21"/>
        </w:rPr>
        <w:tab/>
        <w:t>Assumptions of sufficient and timely delivery pipeline in southern regions</w:t>
      </w:r>
    </w:p>
    <w:p w14:paraId="5B683460" w14:textId="77777777" w:rsidR="00CC101C" w:rsidRPr="00D74466" w:rsidRDefault="00CC101C" w:rsidP="003D5125">
      <w:pPr>
        <w:spacing w:before="100" w:beforeAutospacing="1" w:after="100" w:afterAutospacing="1"/>
        <w:ind w:left="360"/>
        <w:jc w:val="both"/>
        <w:rPr>
          <w:rFonts w:ascii="Arial" w:hAnsi="Arial" w:cs="Arial"/>
          <w:sz w:val="21"/>
          <w:szCs w:val="21"/>
        </w:rPr>
      </w:pPr>
      <w:r w:rsidRPr="00D74466">
        <w:rPr>
          <w:rFonts w:ascii="Arial" w:hAnsi="Arial" w:cs="Arial"/>
          <w:sz w:val="21"/>
          <w:szCs w:val="21"/>
        </w:rPr>
        <w:t>•</w:t>
      </w:r>
      <w:r w:rsidRPr="00D74466">
        <w:rPr>
          <w:rFonts w:ascii="Arial" w:hAnsi="Arial" w:cs="Arial"/>
          <w:sz w:val="21"/>
          <w:szCs w:val="21"/>
        </w:rPr>
        <w:tab/>
        <w:t>No adjustment of nameplate capacity to compensate for lower average load factor generation</w:t>
      </w:r>
    </w:p>
    <w:p w14:paraId="47AE36E5" w14:textId="77777777" w:rsidR="00CC101C" w:rsidRPr="00D74466" w:rsidRDefault="00CC101C" w:rsidP="003D5125">
      <w:pPr>
        <w:spacing w:before="100" w:beforeAutospacing="1" w:after="100" w:afterAutospacing="1"/>
        <w:ind w:left="360"/>
        <w:jc w:val="both"/>
        <w:rPr>
          <w:rFonts w:ascii="Arial" w:hAnsi="Arial" w:cs="Arial"/>
          <w:sz w:val="21"/>
          <w:szCs w:val="21"/>
        </w:rPr>
      </w:pPr>
      <w:r w:rsidRPr="00D74466">
        <w:rPr>
          <w:rFonts w:ascii="Arial" w:hAnsi="Arial" w:cs="Arial"/>
          <w:sz w:val="21"/>
          <w:szCs w:val="21"/>
        </w:rPr>
        <w:t>•</w:t>
      </w:r>
      <w:r w:rsidRPr="00D74466">
        <w:rPr>
          <w:rFonts w:ascii="Arial" w:hAnsi="Arial" w:cs="Arial"/>
          <w:sz w:val="21"/>
          <w:szCs w:val="21"/>
        </w:rPr>
        <w:tab/>
        <w:t>No recognition of geographic diversity benefits of variable renewables</w:t>
      </w:r>
    </w:p>
    <w:p w14:paraId="017CB7E0" w14:textId="77777777" w:rsidR="00CC101C" w:rsidRPr="00D74466" w:rsidRDefault="00CC101C" w:rsidP="003D5125">
      <w:pPr>
        <w:spacing w:before="100" w:beforeAutospacing="1" w:after="100" w:afterAutospacing="1"/>
        <w:ind w:left="720" w:hanging="360"/>
        <w:jc w:val="both"/>
        <w:rPr>
          <w:rFonts w:ascii="Arial" w:hAnsi="Arial" w:cs="Arial"/>
          <w:sz w:val="21"/>
          <w:szCs w:val="21"/>
        </w:rPr>
      </w:pPr>
      <w:r w:rsidRPr="00D74466">
        <w:rPr>
          <w:rFonts w:ascii="Arial" w:hAnsi="Arial" w:cs="Arial"/>
          <w:sz w:val="21"/>
          <w:szCs w:val="21"/>
        </w:rPr>
        <w:t>•</w:t>
      </w:r>
      <w:r w:rsidRPr="00D74466">
        <w:rPr>
          <w:rFonts w:ascii="Arial" w:hAnsi="Arial" w:cs="Arial"/>
          <w:sz w:val="21"/>
          <w:szCs w:val="21"/>
        </w:rPr>
        <w:tab/>
        <w:t>No adjustment of flexibility requirements to meet the less diverse and lower load factor generation mix.</w:t>
      </w:r>
    </w:p>
    <w:p w14:paraId="28A6C732" w14:textId="77777777" w:rsidR="00CC101C" w:rsidRPr="00D74466" w:rsidRDefault="00CC101C" w:rsidP="003D5125">
      <w:pPr>
        <w:spacing w:before="100" w:beforeAutospacing="1" w:after="100" w:afterAutospacing="1"/>
        <w:ind w:left="360"/>
        <w:jc w:val="both"/>
        <w:rPr>
          <w:rFonts w:ascii="Arial" w:hAnsi="Arial" w:cs="Arial"/>
          <w:sz w:val="21"/>
          <w:szCs w:val="21"/>
        </w:rPr>
      </w:pPr>
      <w:r w:rsidRPr="00D74466">
        <w:rPr>
          <w:rFonts w:ascii="Arial" w:hAnsi="Arial" w:cs="Arial"/>
          <w:sz w:val="21"/>
          <w:szCs w:val="21"/>
        </w:rPr>
        <w:t>•</w:t>
      </w:r>
      <w:r w:rsidRPr="00D74466">
        <w:rPr>
          <w:rFonts w:ascii="Arial" w:hAnsi="Arial" w:cs="Arial"/>
          <w:sz w:val="21"/>
          <w:szCs w:val="21"/>
        </w:rPr>
        <w:tab/>
        <w:t>Assumptions of zero early closures</w:t>
      </w:r>
    </w:p>
    <w:p w14:paraId="78FFB5D2"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TNUoS credits have been misapplied in the modelling, mistakenly removing a signal to support triad generation by SDG. The sharper signal of TNUoS rather than the EET applied to southern generation would more likely see carbon emissions rise </w:t>
      </w:r>
      <w:proofErr w:type="gramStart"/>
      <w:r w:rsidRPr="00D74466">
        <w:rPr>
          <w:rFonts w:ascii="Arial" w:hAnsi="Arial" w:cs="Arial"/>
          <w:sz w:val="21"/>
          <w:szCs w:val="21"/>
        </w:rPr>
        <w:t>as a result of</w:t>
      </w:r>
      <w:proofErr w:type="gramEnd"/>
      <w:r w:rsidRPr="00D74466">
        <w:rPr>
          <w:rFonts w:ascii="Arial" w:hAnsi="Arial" w:cs="Arial"/>
          <w:sz w:val="21"/>
          <w:szCs w:val="21"/>
        </w:rPr>
        <w:t xml:space="preserve"> the proposed change. Quantitative Analysis p28 states “the reforms remove the operational incentive on embedded generators in the southern zones to export over expected Triad periods”, whereas ESO pays TNUoS credits based on the average output during triad, retaining the triad signal. A smaller but similar-direction effect comes from applying Ofgem’s TCR decision to floor demand locational charges at zero; even if un-floored, this would remove any corresponding EET charge applied to eligible (Northern) SDG, mitigating the perverse signal to turn-off during triad, but also mitigating the claimed carbon emissions reduction.</w:t>
      </w:r>
    </w:p>
    <w:p w14:paraId="04EF3AE2"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Government support costs are mistakenly assumed to be tailored precisely to each region and separately to each generator technology (and without any delay which might impact deployment decisions). This is not representative of the CfD process, which has a single clearance price for all GB for a given ‘pot’ of technologies. The result in excess support for southern generation (which has the </w:t>
      </w:r>
      <w:r w:rsidRPr="00D74466">
        <w:rPr>
          <w:rFonts w:ascii="Arial" w:hAnsi="Arial" w:cs="Arial"/>
          <w:sz w:val="21"/>
          <w:szCs w:val="21"/>
        </w:rPr>
        <w:lastRenderedPageBreak/>
        <w:t>clearance price unduly lifted by the imperfect TNUoS locational signal). The resulting inefficiency will lead to a ‘support costs’ impact much larger than has been modelled.</w:t>
      </w:r>
    </w:p>
    <w:p w14:paraId="68B29617"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It is also an optimistic assumption that the revenue ‘loss’ through TNUoS change will be perfectly offset in time and that there will be no investment delay and no risk premium adjustment </w:t>
      </w:r>
      <w:proofErr w:type="gramStart"/>
      <w:r w:rsidRPr="00D74466">
        <w:rPr>
          <w:rFonts w:ascii="Arial" w:hAnsi="Arial" w:cs="Arial"/>
          <w:sz w:val="21"/>
          <w:szCs w:val="21"/>
        </w:rPr>
        <w:t>as a result of</w:t>
      </w:r>
      <w:proofErr w:type="gramEnd"/>
      <w:r w:rsidRPr="00D74466">
        <w:rPr>
          <w:rFonts w:ascii="Arial" w:hAnsi="Arial" w:cs="Arial"/>
          <w:sz w:val="21"/>
          <w:szCs w:val="21"/>
        </w:rPr>
        <w:t xml:space="preserve"> the changes. The timing element has only downside risk for the quantitative analysis. On a related point, we would point out that it is optimistic to assume a seamless transition of pipeline projects from one region to another. </w:t>
      </w:r>
    </w:p>
    <w:p w14:paraId="2634CDB8"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We note that geographic diversity of variable renewables has not been fully accounted for in the modelling. The TNUoS signal to focus these renewables </w:t>
      </w:r>
      <w:proofErr w:type="gramStart"/>
      <w:r w:rsidRPr="00D74466">
        <w:rPr>
          <w:rFonts w:ascii="Arial" w:hAnsi="Arial" w:cs="Arial"/>
          <w:sz w:val="21"/>
          <w:szCs w:val="21"/>
        </w:rPr>
        <w:t>in</w:t>
      </w:r>
      <w:proofErr w:type="gramEnd"/>
      <w:r w:rsidRPr="00D74466">
        <w:rPr>
          <w:rFonts w:ascii="Arial" w:hAnsi="Arial" w:cs="Arial"/>
          <w:sz w:val="21"/>
          <w:szCs w:val="21"/>
        </w:rPr>
        <w:t xml:space="preserve"> closer proximity, in the centre and south of GB, corresponds to greater volatility of output, leading to extremes of pricing and greater requirements for balancing actions (increased balancing costs to consumers) and greater requirements for flexibility (more nameplate capacity of battery storage or similar for each MW of variable renewables). When correctly factored in this will act against the claimed benefit.</w:t>
      </w:r>
    </w:p>
    <w:p w14:paraId="52C4CBC2"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Among the acknowledged modelling flaws, a few are worth drawing out as the implications are very material to the possibility of any benefit or disbenefit coming from the proposed change. </w:t>
      </w:r>
    </w:p>
    <w:p w14:paraId="62C9A8FE"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We acknowledge that investment in the energy sector is not risk-free, and that investors should anticipate a certain level of variation in network charges over the life of the project. However, the introduction of transmission charges on generators whom, if investing prior to 2016, would have seen TNUoS as a benefit (if they had factored it at all), represents a substantive change in the framework under which they invested.</w:t>
      </w:r>
    </w:p>
    <w:p w14:paraId="6D64F81B"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According to the 2021 FES report, in the consumer transformation scenario (the main scenario taken by Ofgem in its analysis) we will need 44GW of onshore wind by 2050, which in terms of resource is mostly expected to be deployed in Scotland. The modelling acknowledges the limitations of pipeline and consent for this technology to </w:t>
      </w:r>
      <w:proofErr w:type="gramStart"/>
      <w:r w:rsidRPr="00D74466">
        <w:rPr>
          <w:rFonts w:ascii="Arial" w:hAnsi="Arial" w:cs="Arial"/>
          <w:sz w:val="21"/>
          <w:szCs w:val="21"/>
        </w:rPr>
        <w:t>be located in</w:t>
      </w:r>
      <w:proofErr w:type="gramEnd"/>
      <w:r w:rsidRPr="00D74466">
        <w:rPr>
          <w:rFonts w:ascii="Arial" w:hAnsi="Arial" w:cs="Arial"/>
          <w:sz w:val="21"/>
          <w:szCs w:val="21"/>
        </w:rPr>
        <w:t xml:space="preserve"> southern areas, and that most of the resource is in the north. Setting aside the considerable planning barriers, more southerly onshore wind is acknowledged to have lower capacity factors on average; to maintain the energy output for net zero pathways more nameplate capacity would be required, with corresponding increase in land use and support costs (typically paid per MW). We note in Ofgem’s podcast on the minded-to position the view that reduced onshore wind may see an increase in English solar generation. Noting the roughly four times lower load factor of solar, this means significantly more nameplate capacity will be needed – which brings questions for total embodied carbon, of increased support costs and increased land requirements. We suggest it would be appropriate to quantify these outcomes to seriously test whether the changes can provide an overall net benefit.  </w:t>
      </w:r>
    </w:p>
    <w:p w14:paraId="558F09DC" w14:textId="77777777" w:rsidR="00CC101C" w:rsidRPr="00D74466" w:rsidRDefault="00CC101C" w:rsidP="003D5125">
      <w:pPr>
        <w:spacing w:before="100" w:beforeAutospacing="1" w:after="100" w:afterAutospacing="1"/>
        <w:jc w:val="both"/>
        <w:rPr>
          <w:rFonts w:ascii="Arial" w:hAnsi="Arial" w:cs="Arial"/>
          <w:sz w:val="21"/>
          <w:szCs w:val="21"/>
        </w:rPr>
      </w:pPr>
      <w:r w:rsidRPr="00D74466">
        <w:rPr>
          <w:rFonts w:ascii="Arial" w:hAnsi="Arial" w:cs="Arial"/>
          <w:sz w:val="21"/>
          <w:szCs w:val="21"/>
        </w:rPr>
        <w:t xml:space="preserve">Another significant element is the risk of early closure of operational renewables in Scotland </w:t>
      </w:r>
      <w:proofErr w:type="gramStart"/>
      <w:r w:rsidRPr="00D74466">
        <w:rPr>
          <w:rFonts w:ascii="Arial" w:hAnsi="Arial" w:cs="Arial"/>
          <w:sz w:val="21"/>
          <w:szCs w:val="21"/>
        </w:rPr>
        <w:t>as a result of</w:t>
      </w:r>
      <w:proofErr w:type="gramEnd"/>
      <w:r w:rsidRPr="00D74466">
        <w:rPr>
          <w:rFonts w:ascii="Arial" w:hAnsi="Arial" w:cs="Arial"/>
          <w:sz w:val="21"/>
          <w:szCs w:val="21"/>
        </w:rPr>
        <w:t xml:space="preserve"> the changes. Projects exiting previous support schemes (such as the RO) or ending their CfD agreement when faced </w:t>
      </w:r>
      <w:r w:rsidRPr="00D74466">
        <w:rPr>
          <w:rFonts w:ascii="Arial" w:hAnsi="Arial" w:cs="Arial"/>
          <w:color w:val="000000"/>
          <w:sz w:val="21"/>
          <w:szCs w:val="21"/>
        </w:rPr>
        <w:t xml:space="preserve">with such tariffs as shown in table 5.3 of </w:t>
      </w:r>
      <w:r w:rsidRPr="00D74466">
        <w:rPr>
          <w:rFonts w:ascii="Arial" w:hAnsi="Arial" w:cs="Arial"/>
          <w:sz w:val="21"/>
          <w:szCs w:val="21"/>
        </w:rPr>
        <w:t xml:space="preserve">the quantitative analysis (page 29 of the CEPA-TNEI report) will see a challenging, and in </w:t>
      </w:r>
      <w:proofErr w:type="gramStart"/>
      <w:r w:rsidRPr="00D74466">
        <w:rPr>
          <w:rFonts w:ascii="Arial" w:hAnsi="Arial" w:cs="Arial"/>
          <w:sz w:val="21"/>
          <w:szCs w:val="21"/>
        </w:rPr>
        <w:t>a number of</w:t>
      </w:r>
      <w:proofErr w:type="gramEnd"/>
      <w:r w:rsidRPr="00D74466">
        <w:rPr>
          <w:rFonts w:ascii="Arial" w:hAnsi="Arial" w:cs="Arial"/>
          <w:sz w:val="21"/>
          <w:szCs w:val="21"/>
        </w:rPr>
        <w:t xml:space="preserve"> instances negative, cost-benefit for future maintenance and repairs, resulting in early closures. Both the unused local grid infrastructure and the negative effect on total deployment are missing from the quantitative analysis, which assumes existing renewables remain on the system without additional cost. </w:t>
      </w:r>
    </w:p>
    <w:p w14:paraId="1C3EC2BF" w14:textId="3970542A" w:rsidR="00CC101C" w:rsidRPr="00D74466" w:rsidRDefault="00CC101C" w:rsidP="005B4DDD">
      <w:pPr>
        <w:spacing w:before="100" w:beforeAutospacing="1" w:after="100" w:afterAutospacing="1"/>
        <w:jc w:val="both"/>
        <w:rPr>
          <w:rFonts w:ascii="Arial" w:hAnsi="Arial" w:cs="Arial"/>
          <w:b/>
          <w:bCs/>
          <w:sz w:val="21"/>
          <w:szCs w:val="21"/>
        </w:rPr>
      </w:pPr>
      <w:r w:rsidRPr="00D74466">
        <w:rPr>
          <w:rFonts w:ascii="Arial" w:hAnsi="Arial" w:cs="Arial"/>
          <w:sz w:val="21"/>
          <w:szCs w:val="21"/>
        </w:rPr>
        <w:t xml:space="preserve">We conclude that a corrected quantitative analysis would show a reduced, likely negative net benefit, and that carbon emissions are more likely to rise than fall under the proposed changes. We are in full agreement that wider TNUoS needs to be reconsidered in terms of alignment with the UK’s objectives </w:t>
      </w:r>
      <w:r w:rsidRPr="00D74466">
        <w:rPr>
          <w:rFonts w:ascii="Arial" w:hAnsi="Arial" w:cs="Arial"/>
          <w:sz w:val="21"/>
          <w:szCs w:val="21"/>
        </w:rPr>
        <w:lastRenderedPageBreak/>
        <w:t xml:space="preserve">for net zero and Ofgem’s overall strategic direction. We agree that it would be appropriate to pause application of wider TNUoS to SDG while such reform is considered, mitigating change fatigue and undue volatility. We believe updated quantitative analysis would need to be done </w:t>
      </w:r>
      <w:proofErr w:type="gramStart"/>
      <w:r w:rsidRPr="00D74466">
        <w:rPr>
          <w:rFonts w:ascii="Arial" w:hAnsi="Arial" w:cs="Arial"/>
          <w:sz w:val="21"/>
          <w:szCs w:val="21"/>
        </w:rPr>
        <w:t>in light of</w:t>
      </w:r>
      <w:proofErr w:type="gramEnd"/>
      <w:r w:rsidRPr="00D74466">
        <w:rPr>
          <w:rFonts w:ascii="Arial" w:hAnsi="Arial" w:cs="Arial"/>
          <w:sz w:val="21"/>
          <w:szCs w:val="21"/>
        </w:rPr>
        <w:t xml:space="preserve"> the proposed review and the points raised above before confirming the implementation of this charge for SDG. </w:t>
      </w:r>
    </w:p>
    <w:sectPr w:rsidR="00CC101C" w:rsidRPr="00D74466" w:rsidSect="000804F6">
      <w:headerReference w:type="even" r:id="rId17"/>
      <w:headerReference w:type="default" r:id="rId18"/>
      <w:footerReference w:type="even" r:id="rId19"/>
      <w:footerReference w:type="default" r:id="rId20"/>
      <w:headerReference w:type="first" r:id="rId21"/>
      <w:footerReference w:type="first" r:id="rId22"/>
      <w:pgSz w:w="11906" w:h="16838"/>
      <w:pgMar w:top="1474" w:right="1440"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geles Sandoval" w:date="2022-02-10T12:45:00Z" w:initials="AS">
    <w:p w14:paraId="4528545C" w14:textId="77777777" w:rsidR="00AF5603" w:rsidRDefault="00AF5603" w:rsidP="00591913">
      <w:pPr>
        <w:pStyle w:val="CommentText"/>
      </w:pPr>
      <w:r>
        <w:rPr>
          <w:rStyle w:val="CommentReference"/>
        </w:rPr>
        <w:annotationRef/>
      </w:r>
      <w:r>
        <w:t>To be completed ahead of the final draft</w:t>
      </w:r>
    </w:p>
  </w:comment>
  <w:comment w:id="2" w:author="Angeles Sandoval" w:date="2022-02-08T12:22:00Z" w:initials="AS">
    <w:p w14:paraId="7AADDAC5" w14:textId="37391966" w:rsidR="009529C1" w:rsidRDefault="009529C1" w:rsidP="004D1107">
      <w:pPr>
        <w:pStyle w:val="CommentText"/>
      </w:pPr>
      <w:r>
        <w:rPr>
          <w:rStyle w:val="CommentReference"/>
        </w:rPr>
        <w:annotationRef/>
      </w:r>
      <w:r>
        <w:t>Members input welcome here. Below, I have included the proposal from Ofgem for clarification</w:t>
      </w:r>
    </w:p>
  </w:comment>
  <w:comment w:id="3" w:author="Angeles Sandoval" w:date="2022-02-10T10:38:00Z" w:initials="AS">
    <w:p w14:paraId="58BFE644" w14:textId="77777777" w:rsidR="00113827" w:rsidRDefault="00113827" w:rsidP="009F3047">
      <w:pPr>
        <w:pStyle w:val="CommentText"/>
      </w:pPr>
      <w:r>
        <w:rPr>
          <w:rStyle w:val="CommentReference"/>
        </w:rPr>
        <w:annotationRef/>
      </w:r>
      <w:r>
        <w:t>With the information above, members input is welcome on this position.</w:t>
      </w:r>
    </w:p>
  </w:comment>
  <w:comment w:id="4" w:author="Angeles Sandoval" w:date="2022-02-09T10:15:00Z" w:initials="AS">
    <w:p w14:paraId="2347B506" w14:textId="54F1ABB9" w:rsidR="00AC6758" w:rsidRDefault="00AC6758" w:rsidP="00D51586">
      <w:pPr>
        <w:pStyle w:val="CommentText"/>
      </w:pPr>
      <w:r>
        <w:rPr>
          <w:rStyle w:val="CommentReference"/>
        </w:rPr>
        <w:annotationRef/>
      </w:r>
      <w:r>
        <w:t>Members input welcome here</w:t>
      </w:r>
    </w:p>
  </w:comment>
  <w:comment w:id="5" w:author="Angeles Sandoval" w:date="2022-02-09T10:17:00Z" w:initials="AS">
    <w:p w14:paraId="3343FD4A" w14:textId="77777777" w:rsidR="00AC6758" w:rsidRDefault="00AC6758" w:rsidP="003D7615">
      <w:pPr>
        <w:pStyle w:val="CommentText"/>
      </w:pPr>
      <w:r>
        <w:rPr>
          <w:rStyle w:val="CommentReference"/>
        </w:rPr>
        <w:annotationRef/>
      </w:r>
      <w:r>
        <w:t>Members input welcome here</w:t>
      </w:r>
    </w:p>
  </w:comment>
  <w:comment w:id="6" w:author="Angeles Sandoval" w:date="2022-02-09T15:25:00Z" w:initials="AS">
    <w:p w14:paraId="1C7A6600" w14:textId="77777777" w:rsidR="00D07D04" w:rsidRDefault="00D07D04" w:rsidP="00307003">
      <w:pPr>
        <w:pStyle w:val="CommentText"/>
      </w:pPr>
      <w:r>
        <w:rPr>
          <w:rStyle w:val="CommentReference"/>
        </w:rPr>
        <w:annotationRef/>
      </w:r>
      <w:r>
        <w:t>Members input welcome here</w:t>
      </w:r>
    </w:p>
  </w:comment>
  <w:comment w:id="7" w:author="Angeles Sandoval" w:date="2022-02-09T10:24:00Z" w:initials="AS">
    <w:p w14:paraId="5B1A7C1E" w14:textId="1EA7CDEB" w:rsidR="00F97341" w:rsidRDefault="00F97341" w:rsidP="00E74888">
      <w:pPr>
        <w:pStyle w:val="CommentText"/>
      </w:pPr>
      <w:r>
        <w:rPr>
          <w:rStyle w:val="CommentReference"/>
        </w:rPr>
        <w:annotationRef/>
      </w:r>
      <w:r>
        <w:t>Members opinion welcome here</w:t>
      </w:r>
    </w:p>
  </w:comment>
  <w:comment w:id="8" w:author="Angeles Sandoval" w:date="2022-02-09T11:20:00Z" w:initials="AS">
    <w:p w14:paraId="4EA338C6" w14:textId="77777777" w:rsidR="00355CF9" w:rsidRDefault="00355CF9" w:rsidP="004452F1">
      <w:pPr>
        <w:pStyle w:val="CommentText"/>
      </w:pPr>
      <w:r>
        <w:rPr>
          <w:rStyle w:val="CommentReference"/>
        </w:rPr>
        <w:annotationRef/>
      </w:r>
      <w:r>
        <w:t>Do members think this require any amendment?</w:t>
      </w:r>
    </w:p>
  </w:comment>
  <w:comment w:id="9" w:author="Angeles Sandoval" w:date="2022-02-09T11:51:00Z" w:initials="AS">
    <w:p w14:paraId="33A80B14" w14:textId="77777777" w:rsidR="00B463E3" w:rsidRDefault="00B463E3" w:rsidP="00665ECD">
      <w:pPr>
        <w:pStyle w:val="CommentText"/>
      </w:pPr>
      <w:r>
        <w:rPr>
          <w:rStyle w:val="CommentReference"/>
        </w:rPr>
        <w:annotationRef/>
      </w:r>
      <w:r>
        <w:t>Should we link this with the minimum scheme?</w:t>
      </w:r>
    </w:p>
  </w:comment>
  <w:comment w:id="10" w:author="Angeles Sandoval" w:date="2022-02-09T11:55:00Z" w:initials="AS">
    <w:p w14:paraId="65BB16E2" w14:textId="77777777" w:rsidR="00153EED" w:rsidRDefault="00153EED" w:rsidP="00785F70">
      <w:pPr>
        <w:pStyle w:val="CommentText"/>
      </w:pPr>
      <w:r>
        <w:rPr>
          <w:rStyle w:val="CommentReference"/>
        </w:rPr>
        <w:annotationRef/>
      </w:r>
      <w:r>
        <w:t>Members input welcome here</w:t>
      </w:r>
    </w:p>
  </w:comment>
  <w:comment w:id="11" w:author="Angeles Sandoval" w:date="2022-02-09T15:21:00Z" w:initials="AS">
    <w:p w14:paraId="5C63257F" w14:textId="77777777" w:rsidR="00D07D04" w:rsidRDefault="00D07D04" w:rsidP="00D17BEE">
      <w:pPr>
        <w:pStyle w:val="CommentText"/>
      </w:pPr>
      <w:r>
        <w:rPr>
          <w:rStyle w:val="CommentReference"/>
        </w:rPr>
        <w:annotationRef/>
      </w:r>
      <w:r>
        <w:t>Members input welcome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8545C" w15:done="0"/>
  <w15:commentEx w15:paraId="7AADDAC5" w15:done="0"/>
  <w15:commentEx w15:paraId="58BFE644" w15:done="0"/>
  <w15:commentEx w15:paraId="2347B506" w15:done="0"/>
  <w15:commentEx w15:paraId="3343FD4A" w15:done="0"/>
  <w15:commentEx w15:paraId="1C7A6600" w15:done="0"/>
  <w15:commentEx w15:paraId="5B1A7C1E" w15:done="0"/>
  <w15:commentEx w15:paraId="4EA338C6" w15:done="0"/>
  <w15:commentEx w15:paraId="33A80B14" w15:done="0"/>
  <w15:commentEx w15:paraId="65BB16E2" w15:done="0"/>
  <w15:commentEx w15:paraId="5C632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8785" w16cex:dateUtc="2022-02-10T12:45:00Z"/>
  <w16cex:commentExtensible w16cex:durableId="25ACDF0A" w16cex:dateUtc="2022-02-08T12:22:00Z"/>
  <w16cex:commentExtensible w16cex:durableId="25AF69B6" w16cex:dateUtc="2022-02-10T10:38:00Z"/>
  <w16cex:commentExtensible w16cex:durableId="25AE12D9" w16cex:dateUtc="2022-02-09T10:15:00Z"/>
  <w16cex:commentExtensible w16cex:durableId="25AE131D" w16cex:dateUtc="2022-02-09T10:17:00Z"/>
  <w16cex:commentExtensible w16cex:durableId="25AE5B66" w16cex:dateUtc="2022-02-09T15:25:00Z"/>
  <w16cex:commentExtensible w16cex:durableId="25AE14D6" w16cex:dateUtc="2022-02-09T10:24:00Z"/>
  <w16cex:commentExtensible w16cex:durableId="25AE21F3" w16cex:dateUtc="2022-02-09T11:20:00Z"/>
  <w16cex:commentExtensible w16cex:durableId="25AE2956" w16cex:dateUtc="2022-02-09T11:51:00Z"/>
  <w16cex:commentExtensible w16cex:durableId="25AE2A34" w16cex:dateUtc="2022-02-09T11:55:00Z"/>
  <w16cex:commentExtensible w16cex:durableId="25AE5A82" w16cex:dateUtc="2022-02-09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8545C" w16cid:durableId="25AF8785"/>
  <w16cid:commentId w16cid:paraId="7AADDAC5" w16cid:durableId="25ACDF0A"/>
  <w16cid:commentId w16cid:paraId="58BFE644" w16cid:durableId="25AF69B6"/>
  <w16cid:commentId w16cid:paraId="2347B506" w16cid:durableId="25AE12D9"/>
  <w16cid:commentId w16cid:paraId="3343FD4A" w16cid:durableId="25AE131D"/>
  <w16cid:commentId w16cid:paraId="1C7A6600" w16cid:durableId="25AE5B66"/>
  <w16cid:commentId w16cid:paraId="5B1A7C1E" w16cid:durableId="25AE14D6"/>
  <w16cid:commentId w16cid:paraId="4EA338C6" w16cid:durableId="25AE21F3"/>
  <w16cid:commentId w16cid:paraId="33A80B14" w16cid:durableId="25AE2956"/>
  <w16cid:commentId w16cid:paraId="65BB16E2" w16cid:durableId="25AE2A34"/>
  <w16cid:commentId w16cid:paraId="5C63257F" w16cid:durableId="25AE5A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270A" w14:textId="77777777" w:rsidR="00A0128E" w:rsidRDefault="00A0128E" w:rsidP="00A64FB9">
      <w:pPr>
        <w:spacing w:after="0" w:line="240" w:lineRule="auto"/>
      </w:pPr>
      <w:r>
        <w:separator/>
      </w:r>
    </w:p>
  </w:endnote>
  <w:endnote w:type="continuationSeparator" w:id="0">
    <w:p w14:paraId="703BF61C" w14:textId="77777777" w:rsidR="00A0128E" w:rsidRDefault="00A0128E" w:rsidP="00A6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9ED3" w14:textId="77777777" w:rsidR="002C08EC" w:rsidRDefault="002C0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F3F0" w14:textId="77777777" w:rsidR="002C08EC" w:rsidRDefault="002C0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0593" w14:textId="77777777" w:rsidR="00A0128E" w:rsidRDefault="00A0128E">
    <w:pPr>
      <w:pStyle w:val="Footer"/>
    </w:pPr>
    <w:r>
      <w:rPr>
        <w:rFonts w:ascii="Arial" w:hAnsi="Arial" w:cs="Arial"/>
        <w:noProof/>
        <w:sz w:val="20"/>
        <w:szCs w:val="20"/>
        <w:lang w:eastAsia="en-GB"/>
      </w:rPr>
      <w:drawing>
        <wp:anchor distT="0" distB="0" distL="114300" distR="114300" simplePos="0" relativeHeight="251658240" behindDoc="0" locked="0" layoutInCell="1" allowOverlap="1" wp14:anchorId="13228886" wp14:editId="42730C31">
          <wp:simplePos x="0" y="0"/>
          <wp:positionH relativeFrom="column">
            <wp:posOffset>4500880</wp:posOffset>
          </wp:positionH>
          <wp:positionV relativeFrom="paragraph">
            <wp:posOffset>-582930</wp:posOffset>
          </wp:positionV>
          <wp:extent cx="1852295" cy="1021080"/>
          <wp:effectExtent l="0" t="0" r="0" b="762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R_Letterhead&amp;ComplimentP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eastAsia="en-GB"/>
      </w:rPr>
      <w:drawing>
        <wp:anchor distT="0" distB="0" distL="114300" distR="114300" simplePos="0" relativeHeight="251656192" behindDoc="1" locked="0" layoutInCell="0" allowOverlap="0" wp14:anchorId="53B117DA" wp14:editId="046C1BCC">
          <wp:simplePos x="0" y="0"/>
          <wp:positionH relativeFrom="page">
            <wp:posOffset>461010</wp:posOffset>
          </wp:positionH>
          <wp:positionV relativeFrom="page">
            <wp:posOffset>10173335</wp:posOffset>
          </wp:positionV>
          <wp:extent cx="1044575" cy="356235"/>
          <wp:effectExtent l="0" t="0" r="3175" b="5715"/>
          <wp:wrapThrough wrapText="bothSides">
            <wp:wrapPolygon edited="0">
              <wp:start x="0" y="0"/>
              <wp:lineTo x="0" y="20791"/>
              <wp:lineTo x="21272" y="20791"/>
              <wp:lineTo x="21272"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575" cy="356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E8BA" w14:textId="77777777" w:rsidR="00A0128E" w:rsidRDefault="00A0128E" w:rsidP="00A64FB9">
      <w:pPr>
        <w:spacing w:after="0" w:line="240" w:lineRule="auto"/>
      </w:pPr>
      <w:r>
        <w:separator/>
      </w:r>
    </w:p>
  </w:footnote>
  <w:footnote w:type="continuationSeparator" w:id="0">
    <w:p w14:paraId="1D7058B7" w14:textId="77777777" w:rsidR="00A0128E" w:rsidRDefault="00A0128E" w:rsidP="00A64FB9">
      <w:pPr>
        <w:spacing w:after="0" w:line="240" w:lineRule="auto"/>
      </w:pPr>
      <w:r>
        <w:continuationSeparator/>
      </w:r>
    </w:p>
  </w:footnote>
  <w:footnote w:id="1">
    <w:p w14:paraId="5F488B47" w14:textId="77777777" w:rsidR="006E4EBA" w:rsidRPr="00C41B79" w:rsidRDefault="006E4EBA" w:rsidP="006E4EBA">
      <w:pPr>
        <w:pStyle w:val="FootnoteText"/>
        <w:rPr>
          <w:lang w:val="en-US"/>
        </w:rPr>
      </w:pPr>
      <w:r>
        <w:rPr>
          <w:rStyle w:val="FootnoteReference"/>
        </w:rPr>
        <w:footnoteRef/>
      </w:r>
      <w:r>
        <w:t xml:space="preserve"> </w:t>
      </w:r>
      <w:r w:rsidRPr="008D4A34">
        <w:rPr>
          <w:rFonts w:ascii="Arial" w:hAnsi="Arial" w:cs="Arial"/>
          <w:sz w:val="18"/>
          <w:szCs w:val="18"/>
        </w:rPr>
        <w:t xml:space="preserve">Imperial College London. Whole-System Value of Long-Duration Energy Storage in a Net-Zero Emission Energy System for Great Britain. Available: </w:t>
      </w:r>
      <w:hyperlink r:id="rId1" w:history="1">
        <w:r w:rsidRPr="008D4A34">
          <w:rPr>
            <w:rStyle w:val="Hyperlink"/>
            <w:rFonts w:ascii="Arial" w:hAnsi="Arial" w:cs="Arial"/>
            <w:sz w:val="18"/>
            <w:szCs w:val="18"/>
          </w:rPr>
          <w:t>https://www.imperial.ac.uk/energy-futures-lab/reports/Whole-System-Value-of-Long-Duration-Energy-Storage-in-a-Net-Zero-Emission-Energy-System-for-Great-Britain/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09F3" w14:textId="77777777" w:rsidR="002C08EC" w:rsidRDefault="002C0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6662" w14:textId="77777777" w:rsidR="002C08EC" w:rsidRDefault="002C0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C555" w14:textId="17FCC436" w:rsidR="00A0128E" w:rsidRDefault="000B7DA3">
    <w:pPr>
      <w:pStyle w:val="Header"/>
    </w:pPr>
    <w:sdt>
      <w:sdtPr>
        <w:id w:val="1066451894"/>
        <w:docPartObj>
          <w:docPartGallery w:val="Watermarks"/>
          <w:docPartUnique/>
        </w:docPartObj>
      </w:sdtPr>
      <w:sdtEndPr/>
      <w:sdtContent>
        <w:r>
          <w:rPr>
            <w:noProof/>
          </w:rPr>
          <w:pict w14:anchorId="12167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4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0128E" w:rsidRPr="004C05DF">
      <w:rPr>
        <w:rFonts w:ascii="Arial" w:hAnsi="Arial" w:cs="Arial"/>
        <w:noProof/>
        <w:sz w:val="20"/>
        <w:szCs w:val="20"/>
        <w:lang w:eastAsia="en-GB"/>
      </w:rPr>
      <w:drawing>
        <wp:anchor distT="0" distB="0" distL="114300" distR="114300" simplePos="0" relativeHeight="251657216" behindDoc="1" locked="1" layoutInCell="1" allowOverlap="1" wp14:anchorId="2D351BAE" wp14:editId="77BC0DD8">
          <wp:simplePos x="0" y="0"/>
          <wp:positionH relativeFrom="column">
            <wp:posOffset>3944620</wp:posOffset>
          </wp:positionH>
          <wp:positionV relativeFrom="page">
            <wp:posOffset>572770</wp:posOffset>
          </wp:positionV>
          <wp:extent cx="2375535" cy="949960"/>
          <wp:effectExtent l="0" t="0" r="5715"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75535" cy="949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3E7"/>
    <w:multiLevelType w:val="hybridMultilevel"/>
    <w:tmpl w:val="8B76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77B6D"/>
    <w:multiLevelType w:val="hybridMultilevel"/>
    <w:tmpl w:val="BE5ED6C4"/>
    <w:lvl w:ilvl="0" w:tplc="0809000F">
      <w:start w:val="1"/>
      <w:numFmt w:val="decimal"/>
      <w:lvlText w:val="%1."/>
      <w:lvlJc w:val="left"/>
      <w:pPr>
        <w:ind w:left="720" w:hanging="360"/>
      </w:pPr>
      <w:rPr>
        <w:rFonts w:hint="default"/>
      </w:rPr>
    </w:lvl>
    <w:lvl w:ilvl="1" w:tplc="9C6EAB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581157"/>
    <w:multiLevelType w:val="hybridMultilevel"/>
    <w:tmpl w:val="D638B0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2C58C6"/>
    <w:multiLevelType w:val="hybridMultilevel"/>
    <w:tmpl w:val="FB0A6C86"/>
    <w:lvl w:ilvl="0" w:tplc="FFFFFFFF">
      <w:start w:val="1"/>
      <w:numFmt w:val="upperRoman"/>
      <w:lvlText w:val="%1."/>
      <w:lvlJc w:val="right"/>
      <w:pPr>
        <w:ind w:left="720" w:hanging="360"/>
      </w:pPr>
    </w:lvl>
    <w:lvl w:ilvl="1" w:tplc="0809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es Sandoval">
    <w15:presenceInfo w15:providerId="AD" w15:userId="S::Asandoval@scottishrenewables.com::0eae91b9-9153-4958-84c0-81cee1fe8a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15042"/>
    <o:shapelayout v:ext="edit">
      <o:idmap v:ext="edit" data="2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31C"/>
    <w:rsid w:val="00002CE2"/>
    <w:rsid w:val="00004778"/>
    <w:rsid w:val="000052BD"/>
    <w:rsid w:val="00005B82"/>
    <w:rsid w:val="0000781F"/>
    <w:rsid w:val="000104C2"/>
    <w:rsid w:val="0001142E"/>
    <w:rsid w:val="0001365C"/>
    <w:rsid w:val="000162E6"/>
    <w:rsid w:val="0001749F"/>
    <w:rsid w:val="000204C1"/>
    <w:rsid w:val="000218AA"/>
    <w:rsid w:val="00025759"/>
    <w:rsid w:val="00025862"/>
    <w:rsid w:val="00031324"/>
    <w:rsid w:val="00031A53"/>
    <w:rsid w:val="00032ED7"/>
    <w:rsid w:val="00033439"/>
    <w:rsid w:val="0003386B"/>
    <w:rsid w:val="00033870"/>
    <w:rsid w:val="000338FB"/>
    <w:rsid w:val="00034035"/>
    <w:rsid w:val="00034C6E"/>
    <w:rsid w:val="00043BBB"/>
    <w:rsid w:val="000457FE"/>
    <w:rsid w:val="000463A7"/>
    <w:rsid w:val="00052993"/>
    <w:rsid w:val="000538E0"/>
    <w:rsid w:val="000558F7"/>
    <w:rsid w:val="00055AB2"/>
    <w:rsid w:val="00055EF3"/>
    <w:rsid w:val="00056AE5"/>
    <w:rsid w:val="00056FB4"/>
    <w:rsid w:val="00063EBA"/>
    <w:rsid w:val="0006535D"/>
    <w:rsid w:val="000654B3"/>
    <w:rsid w:val="00067BC0"/>
    <w:rsid w:val="00075411"/>
    <w:rsid w:val="000763FA"/>
    <w:rsid w:val="000804F6"/>
    <w:rsid w:val="00082545"/>
    <w:rsid w:val="00083E22"/>
    <w:rsid w:val="00084F80"/>
    <w:rsid w:val="00091094"/>
    <w:rsid w:val="000935A1"/>
    <w:rsid w:val="00095EC1"/>
    <w:rsid w:val="000A3787"/>
    <w:rsid w:val="000A48D0"/>
    <w:rsid w:val="000B04D0"/>
    <w:rsid w:val="000B0859"/>
    <w:rsid w:val="000B15DD"/>
    <w:rsid w:val="000B2DBD"/>
    <w:rsid w:val="000B340F"/>
    <w:rsid w:val="000B39E8"/>
    <w:rsid w:val="000B4229"/>
    <w:rsid w:val="000B4793"/>
    <w:rsid w:val="000B54BB"/>
    <w:rsid w:val="000B75FF"/>
    <w:rsid w:val="000B7DA3"/>
    <w:rsid w:val="000C07E2"/>
    <w:rsid w:val="000C130F"/>
    <w:rsid w:val="000C43F3"/>
    <w:rsid w:val="000C59A9"/>
    <w:rsid w:val="000C6677"/>
    <w:rsid w:val="000C6AAC"/>
    <w:rsid w:val="000C7A9D"/>
    <w:rsid w:val="000D3274"/>
    <w:rsid w:val="000D40CC"/>
    <w:rsid w:val="000D50EB"/>
    <w:rsid w:val="000E12E7"/>
    <w:rsid w:val="000E250B"/>
    <w:rsid w:val="000E38F7"/>
    <w:rsid w:val="000E6243"/>
    <w:rsid w:val="000E726A"/>
    <w:rsid w:val="000F13AB"/>
    <w:rsid w:val="000F2F8A"/>
    <w:rsid w:val="000F6524"/>
    <w:rsid w:val="000F6ACB"/>
    <w:rsid w:val="0010162F"/>
    <w:rsid w:val="00102595"/>
    <w:rsid w:val="00104D25"/>
    <w:rsid w:val="001055CA"/>
    <w:rsid w:val="00106D8E"/>
    <w:rsid w:val="00107377"/>
    <w:rsid w:val="00107BC4"/>
    <w:rsid w:val="00107BDC"/>
    <w:rsid w:val="0011031A"/>
    <w:rsid w:val="001128AE"/>
    <w:rsid w:val="00113827"/>
    <w:rsid w:val="00114592"/>
    <w:rsid w:val="00115A74"/>
    <w:rsid w:val="0012076B"/>
    <w:rsid w:val="0012102D"/>
    <w:rsid w:val="00124A07"/>
    <w:rsid w:val="00124F79"/>
    <w:rsid w:val="00130923"/>
    <w:rsid w:val="00132512"/>
    <w:rsid w:val="001335B3"/>
    <w:rsid w:val="0013518E"/>
    <w:rsid w:val="00135288"/>
    <w:rsid w:val="00135F6C"/>
    <w:rsid w:val="0013693F"/>
    <w:rsid w:val="00137949"/>
    <w:rsid w:val="00141012"/>
    <w:rsid w:val="001411F0"/>
    <w:rsid w:val="001444DA"/>
    <w:rsid w:val="00147140"/>
    <w:rsid w:val="00147456"/>
    <w:rsid w:val="00147924"/>
    <w:rsid w:val="00147D36"/>
    <w:rsid w:val="00150613"/>
    <w:rsid w:val="00150ADE"/>
    <w:rsid w:val="00153EED"/>
    <w:rsid w:val="00153EF8"/>
    <w:rsid w:val="00157231"/>
    <w:rsid w:val="00160085"/>
    <w:rsid w:val="00161C1C"/>
    <w:rsid w:val="0016401E"/>
    <w:rsid w:val="00166588"/>
    <w:rsid w:val="001703B9"/>
    <w:rsid w:val="00171277"/>
    <w:rsid w:val="00171FA9"/>
    <w:rsid w:val="0017271C"/>
    <w:rsid w:val="0017317B"/>
    <w:rsid w:val="00176A38"/>
    <w:rsid w:val="0017716D"/>
    <w:rsid w:val="00180234"/>
    <w:rsid w:val="00182B84"/>
    <w:rsid w:val="001903F1"/>
    <w:rsid w:val="00192E9C"/>
    <w:rsid w:val="001936D0"/>
    <w:rsid w:val="0019579E"/>
    <w:rsid w:val="001958E6"/>
    <w:rsid w:val="001A052B"/>
    <w:rsid w:val="001A084A"/>
    <w:rsid w:val="001A16DF"/>
    <w:rsid w:val="001A1BC5"/>
    <w:rsid w:val="001A7DB6"/>
    <w:rsid w:val="001B1758"/>
    <w:rsid w:val="001B53B1"/>
    <w:rsid w:val="001B5E79"/>
    <w:rsid w:val="001B6F25"/>
    <w:rsid w:val="001C1505"/>
    <w:rsid w:val="001C2975"/>
    <w:rsid w:val="001C2BAE"/>
    <w:rsid w:val="001C3951"/>
    <w:rsid w:val="001C3BF2"/>
    <w:rsid w:val="001C3E37"/>
    <w:rsid w:val="001C6634"/>
    <w:rsid w:val="001D0D8D"/>
    <w:rsid w:val="001D1141"/>
    <w:rsid w:val="001D3A10"/>
    <w:rsid w:val="001D4A49"/>
    <w:rsid w:val="001E4EF8"/>
    <w:rsid w:val="001F24FC"/>
    <w:rsid w:val="001F25B0"/>
    <w:rsid w:val="001F6B1E"/>
    <w:rsid w:val="002017E0"/>
    <w:rsid w:val="00202E3E"/>
    <w:rsid w:val="00203DCC"/>
    <w:rsid w:val="002061A9"/>
    <w:rsid w:val="002112AD"/>
    <w:rsid w:val="00214C54"/>
    <w:rsid w:val="002178AC"/>
    <w:rsid w:val="00217ED4"/>
    <w:rsid w:val="00223712"/>
    <w:rsid w:val="00223DBA"/>
    <w:rsid w:val="0023192E"/>
    <w:rsid w:val="00231ABD"/>
    <w:rsid w:val="00232965"/>
    <w:rsid w:val="00233308"/>
    <w:rsid w:val="00241627"/>
    <w:rsid w:val="002426FB"/>
    <w:rsid w:val="002427C9"/>
    <w:rsid w:val="00247F08"/>
    <w:rsid w:val="00250170"/>
    <w:rsid w:val="002509D0"/>
    <w:rsid w:val="002545CF"/>
    <w:rsid w:val="00254AB9"/>
    <w:rsid w:val="00254C66"/>
    <w:rsid w:val="002578CD"/>
    <w:rsid w:val="00261177"/>
    <w:rsid w:val="00265021"/>
    <w:rsid w:val="00266F32"/>
    <w:rsid w:val="002704CD"/>
    <w:rsid w:val="002707D7"/>
    <w:rsid w:val="00271A87"/>
    <w:rsid w:val="00276988"/>
    <w:rsid w:val="0028226A"/>
    <w:rsid w:val="0028477C"/>
    <w:rsid w:val="002852FF"/>
    <w:rsid w:val="0028530A"/>
    <w:rsid w:val="0028584B"/>
    <w:rsid w:val="00287305"/>
    <w:rsid w:val="002875B0"/>
    <w:rsid w:val="00287C4F"/>
    <w:rsid w:val="00290D1C"/>
    <w:rsid w:val="00293032"/>
    <w:rsid w:val="002941A2"/>
    <w:rsid w:val="00294C5E"/>
    <w:rsid w:val="00294CE7"/>
    <w:rsid w:val="00297C56"/>
    <w:rsid w:val="002A15B6"/>
    <w:rsid w:val="002A1F9A"/>
    <w:rsid w:val="002A21F5"/>
    <w:rsid w:val="002A426E"/>
    <w:rsid w:val="002B1CD9"/>
    <w:rsid w:val="002B22C2"/>
    <w:rsid w:val="002B4484"/>
    <w:rsid w:val="002B6A2B"/>
    <w:rsid w:val="002B7939"/>
    <w:rsid w:val="002C00D1"/>
    <w:rsid w:val="002C08EC"/>
    <w:rsid w:val="002C3A72"/>
    <w:rsid w:val="002C4308"/>
    <w:rsid w:val="002D087C"/>
    <w:rsid w:val="002D109E"/>
    <w:rsid w:val="002D118A"/>
    <w:rsid w:val="002D14FF"/>
    <w:rsid w:val="002D1A30"/>
    <w:rsid w:val="002D22AA"/>
    <w:rsid w:val="002D438D"/>
    <w:rsid w:val="002D48DB"/>
    <w:rsid w:val="002D6369"/>
    <w:rsid w:val="002D7573"/>
    <w:rsid w:val="002D7FDA"/>
    <w:rsid w:val="002E076E"/>
    <w:rsid w:val="002E1C1B"/>
    <w:rsid w:val="002E5143"/>
    <w:rsid w:val="002E612B"/>
    <w:rsid w:val="002E672B"/>
    <w:rsid w:val="002F214A"/>
    <w:rsid w:val="002F237B"/>
    <w:rsid w:val="002F3C07"/>
    <w:rsid w:val="002F7080"/>
    <w:rsid w:val="003001D4"/>
    <w:rsid w:val="00304A65"/>
    <w:rsid w:val="003064D6"/>
    <w:rsid w:val="00306991"/>
    <w:rsid w:val="00314025"/>
    <w:rsid w:val="00314548"/>
    <w:rsid w:val="00315D3A"/>
    <w:rsid w:val="0031648C"/>
    <w:rsid w:val="00316F2E"/>
    <w:rsid w:val="00317EE6"/>
    <w:rsid w:val="00323A30"/>
    <w:rsid w:val="00324E86"/>
    <w:rsid w:val="0033018E"/>
    <w:rsid w:val="00332CE2"/>
    <w:rsid w:val="00334631"/>
    <w:rsid w:val="0033748C"/>
    <w:rsid w:val="00341741"/>
    <w:rsid w:val="00344652"/>
    <w:rsid w:val="0034488E"/>
    <w:rsid w:val="0034569D"/>
    <w:rsid w:val="003470A2"/>
    <w:rsid w:val="003500B9"/>
    <w:rsid w:val="0035230C"/>
    <w:rsid w:val="00353DA9"/>
    <w:rsid w:val="0035410B"/>
    <w:rsid w:val="00354C21"/>
    <w:rsid w:val="00354DA1"/>
    <w:rsid w:val="00355CF9"/>
    <w:rsid w:val="00357001"/>
    <w:rsid w:val="003606F8"/>
    <w:rsid w:val="003669D6"/>
    <w:rsid w:val="00367EBD"/>
    <w:rsid w:val="00367EE0"/>
    <w:rsid w:val="003713D0"/>
    <w:rsid w:val="003715CA"/>
    <w:rsid w:val="003757CA"/>
    <w:rsid w:val="003760A8"/>
    <w:rsid w:val="0038054E"/>
    <w:rsid w:val="003862CB"/>
    <w:rsid w:val="00386626"/>
    <w:rsid w:val="00392274"/>
    <w:rsid w:val="003C1FC0"/>
    <w:rsid w:val="003C6D01"/>
    <w:rsid w:val="003C7FF8"/>
    <w:rsid w:val="003D5125"/>
    <w:rsid w:val="003D5666"/>
    <w:rsid w:val="003D7F62"/>
    <w:rsid w:val="003E263F"/>
    <w:rsid w:val="003E4954"/>
    <w:rsid w:val="003E6456"/>
    <w:rsid w:val="003E6BC7"/>
    <w:rsid w:val="003F0E99"/>
    <w:rsid w:val="003F2113"/>
    <w:rsid w:val="003F4D55"/>
    <w:rsid w:val="003F5127"/>
    <w:rsid w:val="00400BED"/>
    <w:rsid w:val="00401702"/>
    <w:rsid w:val="00404274"/>
    <w:rsid w:val="00404821"/>
    <w:rsid w:val="00404F5E"/>
    <w:rsid w:val="004054B0"/>
    <w:rsid w:val="004077CF"/>
    <w:rsid w:val="00407969"/>
    <w:rsid w:val="004107E1"/>
    <w:rsid w:val="00410AE0"/>
    <w:rsid w:val="004114B7"/>
    <w:rsid w:val="004114D6"/>
    <w:rsid w:val="004127BD"/>
    <w:rsid w:val="00413450"/>
    <w:rsid w:val="00415242"/>
    <w:rsid w:val="00417524"/>
    <w:rsid w:val="00417E6A"/>
    <w:rsid w:val="00422108"/>
    <w:rsid w:val="00422354"/>
    <w:rsid w:val="00423ECF"/>
    <w:rsid w:val="004252CC"/>
    <w:rsid w:val="0042563A"/>
    <w:rsid w:val="00426537"/>
    <w:rsid w:val="00427F03"/>
    <w:rsid w:val="004309D9"/>
    <w:rsid w:val="0043270C"/>
    <w:rsid w:val="00434EDB"/>
    <w:rsid w:val="00435A79"/>
    <w:rsid w:val="00436835"/>
    <w:rsid w:val="00436859"/>
    <w:rsid w:val="004369E5"/>
    <w:rsid w:val="00441420"/>
    <w:rsid w:val="0044247C"/>
    <w:rsid w:val="004447C0"/>
    <w:rsid w:val="0044730A"/>
    <w:rsid w:val="00451E3A"/>
    <w:rsid w:val="004543FD"/>
    <w:rsid w:val="00454526"/>
    <w:rsid w:val="00455840"/>
    <w:rsid w:val="00455A40"/>
    <w:rsid w:val="004600E9"/>
    <w:rsid w:val="00460116"/>
    <w:rsid w:val="00461E6B"/>
    <w:rsid w:val="00464BC8"/>
    <w:rsid w:val="00464C4D"/>
    <w:rsid w:val="004660AB"/>
    <w:rsid w:val="0046642D"/>
    <w:rsid w:val="00470E96"/>
    <w:rsid w:val="0047397F"/>
    <w:rsid w:val="00473DF5"/>
    <w:rsid w:val="00473FA6"/>
    <w:rsid w:val="004744B8"/>
    <w:rsid w:val="004768F3"/>
    <w:rsid w:val="00476C7A"/>
    <w:rsid w:val="004770F1"/>
    <w:rsid w:val="00480294"/>
    <w:rsid w:val="00480A97"/>
    <w:rsid w:val="00481C05"/>
    <w:rsid w:val="00485B23"/>
    <w:rsid w:val="00491A49"/>
    <w:rsid w:val="00491F40"/>
    <w:rsid w:val="004951DD"/>
    <w:rsid w:val="00496DD0"/>
    <w:rsid w:val="004A0DAE"/>
    <w:rsid w:val="004A3151"/>
    <w:rsid w:val="004A40F2"/>
    <w:rsid w:val="004A4E72"/>
    <w:rsid w:val="004A73D0"/>
    <w:rsid w:val="004B07EF"/>
    <w:rsid w:val="004B5876"/>
    <w:rsid w:val="004B721E"/>
    <w:rsid w:val="004B7230"/>
    <w:rsid w:val="004B7A7E"/>
    <w:rsid w:val="004C05DF"/>
    <w:rsid w:val="004C1930"/>
    <w:rsid w:val="004C210D"/>
    <w:rsid w:val="004C32AE"/>
    <w:rsid w:val="004C35BF"/>
    <w:rsid w:val="004C7643"/>
    <w:rsid w:val="004D154B"/>
    <w:rsid w:val="004D3409"/>
    <w:rsid w:val="004D3520"/>
    <w:rsid w:val="004D46CB"/>
    <w:rsid w:val="004D5118"/>
    <w:rsid w:val="004D788E"/>
    <w:rsid w:val="004D7C06"/>
    <w:rsid w:val="004E0CD3"/>
    <w:rsid w:val="004E3A42"/>
    <w:rsid w:val="004E454B"/>
    <w:rsid w:val="004E47FA"/>
    <w:rsid w:val="004E51E6"/>
    <w:rsid w:val="004F22E2"/>
    <w:rsid w:val="004F5394"/>
    <w:rsid w:val="004F5AC4"/>
    <w:rsid w:val="004F5FEA"/>
    <w:rsid w:val="00500D4D"/>
    <w:rsid w:val="005016E6"/>
    <w:rsid w:val="0050210D"/>
    <w:rsid w:val="005028F8"/>
    <w:rsid w:val="00503375"/>
    <w:rsid w:val="005034A0"/>
    <w:rsid w:val="00503CD5"/>
    <w:rsid w:val="00504A9F"/>
    <w:rsid w:val="00504D7C"/>
    <w:rsid w:val="0050653F"/>
    <w:rsid w:val="00507BCE"/>
    <w:rsid w:val="0051171F"/>
    <w:rsid w:val="00511BB8"/>
    <w:rsid w:val="005150D9"/>
    <w:rsid w:val="00524A29"/>
    <w:rsid w:val="005271EC"/>
    <w:rsid w:val="00531277"/>
    <w:rsid w:val="00531BDB"/>
    <w:rsid w:val="0053475E"/>
    <w:rsid w:val="00534EE6"/>
    <w:rsid w:val="005352B3"/>
    <w:rsid w:val="00535D9D"/>
    <w:rsid w:val="0054427E"/>
    <w:rsid w:val="00545107"/>
    <w:rsid w:val="0054676B"/>
    <w:rsid w:val="00546EAF"/>
    <w:rsid w:val="00550485"/>
    <w:rsid w:val="00552EDF"/>
    <w:rsid w:val="00554017"/>
    <w:rsid w:val="00554517"/>
    <w:rsid w:val="005574CF"/>
    <w:rsid w:val="005608DF"/>
    <w:rsid w:val="00563C81"/>
    <w:rsid w:val="00565376"/>
    <w:rsid w:val="005715F4"/>
    <w:rsid w:val="00573A6B"/>
    <w:rsid w:val="005809B6"/>
    <w:rsid w:val="00581ABE"/>
    <w:rsid w:val="00586303"/>
    <w:rsid w:val="00586747"/>
    <w:rsid w:val="005906D0"/>
    <w:rsid w:val="00591AFF"/>
    <w:rsid w:val="005949A6"/>
    <w:rsid w:val="005953A8"/>
    <w:rsid w:val="00597514"/>
    <w:rsid w:val="005A10CC"/>
    <w:rsid w:val="005A180B"/>
    <w:rsid w:val="005A1AF4"/>
    <w:rsid w:val="005A1BFA"/>
    <w:rsid w:val="005A47B7"/>
    <w:rsid w:val="005A4DDD"/>
    <w:rsid w:val="005A75ED"/>
    <w:rsid w:val="005A7975"/>
    <w:rsid w:val="005B380A"/>
    <w:rsid w:val="005B3B6E"/>
    <w:rsid w:val="005B4692"/>
    <w:rsid w:val="005B4DDD"/>
    <w:rsid w:val="005B5385"/>
    <w:rsid w:val="005B64AC"/>
    <w:rsid w:val="005B6787"/>
    <w:rsid w:val="005C015F"/>
    <w:rsid w:val="005C0FD4"/>
    <w:rsid w:val="005C100D"/>
    <w:rsid w:val="005C5111"/>
    <w:rsid w:val="005C5261"/>
    <w:rsid w:val="005C6577"/>
    <w:rsid w:val="005E232A"/>
    <w:rsid w:val="005E50D9"/>
    <w:rsid w:val="005F09C9"/>
    <w:rsid w:val="005F35B3"/>
    <w:rsid w:val="005F3D23"/>
    <w:rsid w:val="00600164"/>
    <w:rsid w:val="0060045A"/>
    <w:rsid w:val="00606269"/>
    <w:rsid w:val="006070D6"/>
    <w:rsid w:val="0061032F"/>
    <w:rsid w:val="00611183"/>
    <w:rsid w:val="006117D4"/>
    <w:rsid w:val="00616805"/>
    <w:rsid w:val="006207C9"/>
    <w:rsid w:val="006239E3"/>
    <w:rsid w:val="00624841"/>
    <w:rsid w:val="00625F74"/>
    <w:rsid w:val="00632C10"/>
    <w:rsid w:val="00633022"/>
    <w:rsid w:val="006362FA"/>
    <w:rsid w:val="0063675C"/>
    <w:rsid w:val="006408AE"/>
    <w:rsid w:val="006427E5"/>
    <w:rsid w:val="006439F8"/>
    <w:rsid w:val="00646602"/>
    <w:rsid w:val="00651292"/>
    <w:rsid w:val="00651CF4"/>
    <w:rsid w:val="0065345E"/>
    <w:rsid w:val="0065358F"/>
    <w:rsid w:val="00653B17"/>
    <w:rsid w:val="00656342"/>
    <w:rsid w:val="00656373"/>
    <w:rsid w:val="00661D4D"/>
    <w:rsid w:val="00662089"/>
    <w:rsid w:val="006652E2"/>
    <w:rsid w:val="006706C3"/>
    <w:rsid w:val="006707F3"/>
    <w:rsid w:val="00671787"/>
    <w:rsid w:val="00671B8D"/>
    <w:rsid w:val="006726F1"/>
    <w:rsid w:val="00673242"/>
    <w:rsid w:val="00673602"/>
    <w:rsid w:val="00677EC3"/>
    <w:rsid w:val="00680455"/>
    <w:rsid w:val="006806AC"/>
    <w:rsid w:val="006817D9"/>
    <w:rsid w:val="00681870"/>
    <w:rsid w:val="00683A50"/>
    <w:rsid w:val="006866DA"/>
    <w:rsid w:val="0068762C"/>
    <w:rsid w:val="006918EE"/>
    <w:rsid w:val="00691AD5"/>
    <w:rsid w:val="00695311"/>
    <w:rsid w:val="00696CDE"/>
    <w:rsid w:val="006A23E4"/>
    <w:rsid w:val="006A27C7"/>
    <w:rsid w:val="006A3ABE"/>
    <w:rsid w:val="006A3E4A"/>
    <w:rsid w:val="006A4BEF"/>
    <w:rsid w:val="006A53A7"/>
    <w:rsid w:val="006A7026"/>
    <w:rsid w:val="006A7386"/>
    <w:rsid w:val="006B139F"/>
    <w:rsid w:val="006B2604"/>
    <w:rsid w:val="006B2921"/>
    <w:rsid w:val="006B68A3"/>
    <w:rsid w:val="006B7D2F"/>
    <w:rsid w:val="006C2AD4"/>
    <w:rsid w:val="006C4150"/>
    <w:rsid w:val="006C4398"/>
    <w:rsid w:val="006C5A63"/>
    <w:rsid w:val="006C7F5D"/>
    <w:rsid w:val="006D3CF1"/>
    <w:rsid w:val="006D4805"/>
    <w:rsid w:val="006D5C30"/>
    <w:rsid w:val="006D7DD5"/>
    <w:rsid w:val="006E02A6"/>
    <w:rsid w:val="006E02B0"/>
    <w:rsid w:val="006E1064"/>
    <w:rsid w:val="006E190E"/>
    <w:rsid w:val="006E1F5D"/>
    <w:rsid w:val="006E37CE"/>
    <w:rsid w:val="006E4EBA"/>
    <w:rsid w:val="006E51CF"/>
    <w:rsid w:val="006F24E3"/>
    <w:rsid w:val="006F2FCF"/>
    <w:rsid w:val="006F3D88"/>
    <w:rsid w:val="006F3E58"/>
    <w:rsid w:val="006F4697"/>
    <w:rsid w:val="006F4ADE"/>
    <w:rsid w:val="007009B3"/>
    <w:rsid w:val="00700A8B"/>
    <w:rsid w:val="00701CDE"/>
    <w:rsid w:val="00701EA6"/>
    <w:rsid w:val="00702795"/>
    <w:rsid w:val="0070527D"/>
    <w:rsid w:val="00706284"/>
    <w:rsid w:val="00706E03"/>
    <w:rsid w:val="007103CB"/>
    <w:rsid w:val="00711DEA"/>
    <w:rsid w:val="00713921"/>
    <w:rsid w:val="00714211"/>
    <w:rsid w:val="00714DF6"/>
    <w:rsid w:val="007213DD"/>
    <w:rsid w:val="007220A6"/>
    <w:rsid w:val="007226B5"/>
    <w:rsid w:val="00722B3A"/>
    <w:rsid w:val="00723491"/>
    <w:rsid w:val="00723984"/>
    <w:rsid w:val="00727D91"/>
    <w:rsid w:val="00730DC9"/>
    <w:rsid w:val="0073111A"/>
    <w:rsid w:val="00735013"/>
    <w:rsid w:val="00736DDF"/>
    <w:rsid w:val="00741AFC"/>
    <w:rsid w:val="007538E9"/>
    <w:rsid w:val="00753D40"/>
    <w:rsid w:val="00756752"/>
    <w:rsid w:val="00760599"/>
    <w:rsid w:val="00760DC6"/>
    <w:rsid w:val="00760E98"/>
    <w:rsid w:val="00764BBB"/>
    <w:rsid w:val="0076622E"/>
    <w:rsid w:val="0076684B"/>
    <w:rsid w:val="007672A6"/>
    <w:rsid w:val="00770B91"/>
    <w:rsid w:val="00771BDD"/>
    <w:rsid w:val="0077315C"/>
    <w:rsid w:val="007741F8"/>
    <w:rsid w:val="00774E4C"/>
    <w:rsid w:val="00775F8B"/>
    <w:rsid w:val="007803F9"/>
    <w:rsid w:val="00781866"/>
    <w:rsid w:val="00781C8E"/>
    <w:rsid w:val="007825CE"/>
    <w:rsid w:val="00784388"/>
    <w:rsid w:val="0078537D"/>
    <w:rsid w:val="00785A36"/>
    <w:rsid w:val="00790879"/>
    <w:rsid w:val="00790C69"/>
    <w:rsid w:val="00791308"/>
    <w:rsid w:val="007913C9"/>
    <w:rsid w:val="00792195"/>
    <w:rsid w:val="00792CFB"/>
    <w:rsid w:val="00794752"/>
    <w:rsid w:val="007973F9"/>
    <w:rsid w:val="007979A2"/>
    <w:rsid w:val="007A0718"/>
    <w:rsid w:val="007A0A14"/>
    <w:rsid w:val="007A214C"/>
    <w:rsid w:val="007A2FCF"/>
    <w:rsid w:val="007A597B"/>
    <w:rsid w:val="007A7413"/>
    <w:rsid w:val="007A77CD"/>
    <w:rsid w:val="007A7AFA"/>
    <w:rsid w:val="007B0A79"/>
    <w:rsid w:val="007B2CC7"/>
    <w:rsid w:val="007B5FB8"/>
    <w:rsid w:val="007C031D"/>
    <w:rsid w:val="007C1CEB"/>
    <w:rsid w:val="007C3C2B"/>
    <w:rsid w:val="007D13FD"/>
    <w:rsid w:val="007D43A0"/>
    <w:rsid w:val="007D7609"/>
    <w:rsid w:val="007D77E6"/>
    <w:rsid w:val="007E60E8"/>
    <w:rsid w:val="007E695A"/>
    <w:rsid w:val="007E7321"/>
    <w:rsid w:val="007F26D0"/>
    <w:rsid w:val="00801D64"/>
    <w:rsid w:val="0080219F"/>
    <w:rsid w:val="008023E9"/>
    <w:rsid w:val="0080461F"/>
    <w:rsid w:val="008110C3"/>
    <w:rsid w:val="0081384E"/>
    <w:rsid w:val="00813E24"/>
    <w:rsid w:val="00815BC1"/>
    <w:rsid w:val="0082191A"/>
    <w:rsid w:val="00824113"/>
    <w:rsid w:val="00827071"/>
    <w:rsid w:val="0082786F"/>
    <w:rsid w:val="0083057E"/>
    <w:rsid w:val="00830751"/>
    <w:rsid w:val="0083122F"/>
    <w:rsid w:val="00835172"/>
    <w:rsid w:val="008352B1"/>
    <w:rsid w:val="00837A0B"/>
    <w:rsid w:val="0084180C"/>
    <w:rsid w:val="0084324D"/>
    <w:rsid w:val="00846297"/>
    <w:rsid w:val="00850BA6"/>
    <w:rsid w:val="00851C38"/>
    <w:rsid w:val="00851FB7"/>
    <w:rsid w:val="00852329"/>
    <w:rsid w:val="0085679E"/>
    <w:rsid w:val="00857B0A"/>
    <w:rsid w:val="00861CC3"/>
    <w:rsid w:val="00862495"/>
    <w:rsid w:val="00862A57"/>
    <w:rsid w:val="00864FF3"/>
    <w:rsid w:val="00865BD1"/>
    <w:rsid w:val="00866C8C"/>
    <w:rsid w:val="008672C2"/>
    <w:rsid w:val="00867B1E"/>
    <w:rsid w:val="00870D7F"/>
    <w:rsid w:val="008714D8"/>
    <w:rsid w:val="0087188B"/>
    <w:rsid w:val="008734ED"/>
    <w:rsid w:val="0088059B"/>
    <w:rsid w:val="00884273"/>
    <w:rsid w:val="008937E8"/>
    <w:rsid w:val="00894182"/>
    <w:rsid w:val="008A0DB2"/>
    <w:rsid w:val="008A12D7"/>
    <w:rsid w:val="008A4661"/>
    <w:rsid w:val="008A526F"/>
    <w:rsid w:val="008B07D5"/>
    <w:rsid w:val="008B0852"/>
    <w:rsid w:val="008B3B87"/>
    <w:rsid w:val="008B4E0F"/>
    <w:rsid w:val="008B5B3C"/>
    <w:rsid w:val="008B75AA"/>
    <w:rsid w:val="008C0AAB"/>
    <w:rsid w:val="008C494E"/>
    <w:rsid w:val="008C708C"/>
    <w:rsid w:val="008C7350"/>
    <w:rsid w:val="008C748C"/>
    <w:rsid w:val="008D2DB8"/>
    <w:rsid w:val="008D2E82"/>
    <w:rsid w:val="008D471E"/>
    <w:rsid w:val="008D4A34"/>
    <w:rsid w:val="008D6904"/>
    <w:rsid w:val="008D7669"/>
    <w:rsid w:val="008E1D6B"/>
    <w:rsid w:val="008E1DCF"/>
    <w:rsid w:val="008E272C"/>
    <w:rsid w:val="008E2D3B"/>
    <w:rsid w:val="008E3D76"/>
    <w:rsid w:val="008E5BE1"/>
    <w:rsid w:val="008E5CAF"/>
    <w:rsid w:val="008F0925"/>
    <w:rsid w:val="008F1CCA"/>
    <w:rsid w:val="008F4B41"/>
    <w:rsid w:val="008F681B"/>
    <w:rsid w:val="008F7643"/>
    <w:rsid w:val="008F79FE"/>
    <w:rsid w:val="008F7CA6"/>
    <w:rsid w:val="00901851"/>
    <w:rsid w:val="0090203A"/>
    <w:rsid w:val="00902B06"/>
    <w:rsid w:val="009043FE"/>
    <w:rsid w:val="00906D40"/>
    <w:rsid w:val="00915A30"/>
    <w:rsid w:val="009174D0"/>
    <w:rsid w:val="009255DA"/>
    <w:rsid w:val="009257D2"/>
    <w:rsid w:val="00926E81"/>
    <w:rsid w:val="00927898"/>
    <w:rsid w:val="009351A2"/>
    <w:rsid w:val="009379AD"/>
    <w:rsid w:val="0094245B"/>
    <w:rsid w:val="0094314E"/>
    <w:rsid w:val="009464F3"/>
    <w:rsid w:val="00946A82"/>
    <w:rsid w:val="009477FD"/>
    <w:rsid w:val="0095264F"/>
    <w:rsid w:val="009529C1"/>
    <w:rsid w:val="00953F39"/>
    <w:rsid w:val="00956C00"/>
    <w:rsid w:val="00956D4B"/>
    <w:rsid w:val="00961F53"/>
    <w:rsid w:val="00962B99"/>
    <w:rsid w:val="009636B4"/>
    <w:rsid w:val="009645C9"/>
    <w:rsid w:val="00964BED"/>
    <w:rsid w:val="00966A08"/>
    <w:rsid w:val="009717AE"/>
    <w:rsid w:val="00971EBB"/>
    <w:rsid w:val="0097405E"/>
    <w:rsid w:val="009805B2"/>
    <w:rsid w:val="0098086E"/>
    <w:rsid w:val="00981853"/>
    <w:rsid w:val="00981F34"/>
    <w:rsid w:val="00982CB9"/>
    <w:rsid w:val="00984557"/>
    <w:rsid w:val="00987617"/>
    <w:rsid w:val="00987982"/>
    <w:rsid w:val="00990827"/>
    <w:rsid w:val="00990A7B"/>
    <w:rsid w:val="00991816"/>
    <w:rsid w:val="00991C93"/>
    <w:rsid w:val="009946EA"/>
    <w:rsid w:val="00997771"/>
    <w:rsid w:val="00997EDA"/>
    <w:rsid w:val="009A43DA"/>
    <w:rsid w:val="009A4E66"/>
    <w:rsid w:val="009A72A3"/>
    <w:rsid w:val="009A754A"/>
    <w:rsid w:val="009A7A16"/>
    <w:rsid w:val="009B07E0"/>
    <w:rsid w:val="009B2E1A"/>
    <w:rsid w:val="009B38CA"/>
    <w:rsid w:val="009B4AF8"/>
    <w:rsid w:val="009C2D6D"/>
    <w:rsid w:val="009D0DC1"/>
    <w:rsid w:val="009D2996"/>
    <w:rsid w:val="009D3BD2"/>
    <w:rsid w:val="009D3D02"/>
    <w:rsid w:val="009D4BB2"/>
    <w:rsid w:val="009D7508"/>
    <w:rsid w:val="009D757D"/>
    <w:rsid w:val="009E0B84"/>
    <w:rsid w:val="009E0E41"/>
    <w:rsid w:val="009E1C32"/>
    <w:rsid w:val="009E3DF4"/>
    <w:rsid w:val="009F013D"/>
    <w:rsid w:val="009F2AC4"/>
    <w:rsid w:val="009F2ED1"/>
    <w:rsid w:val="009F4751"/>
    <w:rsid w:val="009F4A73"/>
    <w:rsid w:val="00A00392"/>
    <w:rsid w:val="00A0128E"/>
    <w:rsid w:val="00A026E1"/>
    <w:rsid w:val="00A03F1A"/>
    <w:rsid w:val="00A044AF"/>
    <w:rsid w:val="00A045F1"/>
    <w:rsid w:val="00A05EA8"/>
    <w:rsid w:val="00A06497"/>
    <w:rsid w:val="00A06739"/>
    <w:rsid w:val="00A13D7D"/>
    <w:rsid w:val="00A13DDC"/>
    <w:rsid w:val="00A14E33"/>
    <w:rsid w:val="00A14F27"/>
    <w:rsid w:val="00A15277"/>
    <w:rsid w:val="00A1546F"/>
    <w:rsid w:val="00A16CD1"/>
    <w:rsid w:val="00A22239"/>
    <w:rsid w:val="00A239C7"/>
    <w:rsid w:val="00A26F4F"/>
    <w:rsid w:val="00A26F73"/>
    <w:rsid w:val="00A27518"/>
    <w:rsid w:val="00A276CF"/>
    <w:rsid w:val="00A27FC6"/>
    <w:rsid w:val="00A3065D"/>
    <w:rsid w:val="00A3235C"/>
    <w:rsid w:val="00A34ADE"/>
    <w:rsid w:val="00A40215"/>
    <w:rsid w:val="00A4144B"/>
    <w:rsid w:val="00A41788"/>
    <w:rsid w:val="00A42DFB"/>
    <w:rsid w:val="00A433A2"/>
    <w:rsid w:val="00A43FD4"/>
    <w:rsid w:val="00A462E4"/>
    <w:rsid w:val="00A47A24"/>
    <w:rsid w:val="00A511AF"/>
    <w:rsid w:val="00A51618"/>
    <w:rsid w:val="00A552B9"/>
    <w:rsid w:val="00A555B5"/>
    <w:rsid w:val="00A56159"/>
    <w:rsid w:val="00A57C3F"/>
    <w:rsid w:val="00A6094F"/>
    <w:rsid w:val="00A61ECE"/>
    <w:rsid w:val="00A62391"/>
    <w:rsid w:val="00A62B23"/>
    <w:rsid w:val="00A64F96"/>
    <w:rsid w:val="00A64FB9"/>
    <w:rsid w:val="00A66290"/>
    <w:rsid w:val="00A74737"/>
    <w:rsid w:val="00A824F6"/>
    <w:rsid w:val="00A82BF9"/>
    <w:rsid w:val="00A85465"/>
    <w:rsid w:val="00A85B40"/>
    <w:rsid w:val="00A86481"/>
    <w:rsid w:val="00A87D5E"/>
    <w:rsid w:val="00A92A53"/>
    <w:rsid w:val="00A94110"/>
    <w:rsid w:val="00A9497F"/>
    <w:rsid w:val="00AA4C25"/>
    <w:rsid w:val="00AA4FB2"/>
    <w:rsid w:val="00AA7966"/>
    <w:rsid w:val="00AB2045"/>
    <w:rsid w:val="00AB3359"/>
    <w:rsid w:val="00AB3C3F"/>
    <w:rsid w:val="00AC1A6A"/>
    <w:rsid w:val="00AC2B51"/>
    <w:rsid w:val="00AC3E6A"/>
    <w:rsid w:val="00AC447F"/>
    <w:rsid w:val="00AC61BE"/>
    <w:rsid w:val="00AC6758"/>
    <w:rsid w:val="00AC699C"/>
    <w:rsid w:val="00AD01C3"/>
    <w:rsid w:val="00AD2801"/>
    <w:rsid w:val="00AD3536"/>
    <w:rsid w:val="00AD370D"/>
    <w:rsid w:val="00AD38A2"/>
    <w:rsid w:val="00AE09B0"/>
    <w:rsid w:val="00AE0E4F"/>
    <w:rsid w:val="00AE275E"/>
    <w:rsid w:val="00AE2A27"/>
    <w:rsid w:val="00AE618E"/>
    <w:rsid w:val="00AE7140"/>
    <w:rsid w:val="00AE74B1"/>
    <w:rsid w:val="00AE7AD1"/>
    <w:rsid w:val="00AF21D8"/>
    <w:rsid w:val="00AF2A44"/>
    <w:rsid w:val="00AF2D0F"/>
    <w:rsid w:val="00AF48C6"/>
    <w:rsid w:val="00AF4A41"/>
    <w:rsid w:val="00AF5603"/>
    <w:rsid w:val="00AF7757"/>
    <w:rsid w:val="00B013C4"/>
    <w:rsid w:val="00B0430C"/>
    <w:rsid w:val="00B0545D"/>
    <w:rsid w:val="00B11DC0"/>
    <w:rsid w:val="00B12F2E"/>
    <w:rsid w:val="00B14D9A"/>
    <w:rsid w:val="00B16D30"/>
    <w:rsid w:val="00B17D3F"/>
    <w:rsid w:val="00B206A8"/>
    <w:rsid w:val="00B22F9E"/>
    <w:rsid w:val="00B23642"/>
    <w:rsid w:val="00B3007A"/>
    <w:rsid w:val="00B30C6A"/>
    <w:rsid w:val="00B34759"/>
    <w:rsid w:val="00B356FE"/>
    <w:rsid w:val="00B35908"/>
    <w:rsid w:val="00B3787D"/>
    <w:rsid w:val="00B41773"/>
    <w:rsid w:val="00B41F5C"/>
    <w:rsid w:val="00B44EA4"/>
    <w:rsid w:val="00B463E3"/>
    <w:rsid w:val="00B50992"/>
    <w:rsid w:val="00B51553"/>
    <w:rsid w:val="00B515C0"/>
    <w:rsid w:val="00B53F68"/>
    <w:rsid w:val="00B546B3"/>
    <w:rsid w:val="00B55AA5"/>
    <w:rsid w:val="00B57DF0"/>
    <w:rsid w:val="00B61B19"/>
    <w:rsid w:val="00B62A52"/>
    <w:rsid w:val="00B63987"/>
    <w:rsid w:val="00B639F7"/>
    <w:rsid w:val="00B670ED"/>
    <w:rsid w:val="00B6783E"/>
    <w:rsid w:val="00B70181"/>
    <w:rsid w:val="00B74454"/>
    <w:rsid w:val="00B74D84"/>
    <w:rsid w:val="00B75DCE"/>
    <w:rsid w:val="00B760DD"/>
    <w:rsid w:val="00B83FE4"/>
    <w:rsid w:val="00B84251"/>
    <w:rsid w:val="00B86BEE"/>
    <w:rsid w:val="00B87615"/>
    <w:rsid w:val="00B912C2"/>
    <w:rsid w:val="00B91722"/>
    <w:rsid w:val="00B91FAA"/>
    <w:rsid w:val="00B9309D"/>
    <w:rsid w:val="00B9339C"/>
    <w:rsid w:val="00B96139"/>
    <w:rsid w:val="00B9659E"/>
    <w:rsid w:val="00B96DC7"/>
    <w:rsid w:val="00BA28EE"/>
    <w:rsid w:val="00BA292D"/>
    <w:rsid w:val="00BA40F9"/>
    <w:rsid w:val="00BA5E48"/>
    <w:rsid w:val="00BA606A"/>
    <w:rsid w:val="00BA6AF6"/>
    <w:rsid w:val="00BA6C17"/>
    <w:rsid w:val="00BB3BFC"/>
    <w:rsid w:val="00BB4B48"/>
    <w:rsid w:val="00BB50A4"/>
    <w:rsid w:val="00BB547E"/>
    <w:rsid w:val="00BC053A"/>
    <w:rsid w:val="00BC1289"/>
    <w:rsid w:val="00BC2001"/>
    <w:rsid w:val="00BC383E"/>
    <w:rsid w:val="00BC38E2"/>
    <w:rsid w:val="00BC5A9F"/>
    <w:rsid w:val="00BC7576"/>
    <w:rsid w:val="00BD702B"/>
    <w:rsid w:val="00BD774C"/>
    <w:rsid w:val="00BE0956"/>
    <w:rsid w:val="00BE1E2A"/>
    <w:rsid w:val="00BE682F"/>
    <w:rsid w:val="00BE791A"/>
    <w:rsid w:val="00BF05DD"/>
    <w:rsid w:val="00BF1E73"/>
    <w:rsid w:val="00BF4FFA"/>
    <w:rsid w:val="00BF5AEC"/>
    <w:rsid w:val="00BF5BE3"/>
    <w:rsid w:val="00BF67E9"/>
    <w:rsid w:val="00BF70EE"/>
    <w:rsid w:val="00C01D2C"/>
    <w:rsid w:val="00C03678"/>
    <w:rsid w:val="00C03C38"/>
    <w:rsid w:val="00C11D2C"/>
    <w:rsid w:val="00C1389A"/>
    <w:rsid w:val="00C14B60"/>
    <w:rsid w:val="00C1578E"/>
    <w:rsid w:val="00C15DE9"/>
    <w:rsid w:val="00C16C20"/>
    <w:rsid w:val="00C20517"/>
    <w:rsid w:val="00C21AF4"/>
    <w:rsid w:val="00C22CA1"/>
    <w:rsid w:val="00C22DD0"/>
    <w:rsid w:val="00C23BA8"/>
    <w:rsid w:val="00C2653E"/>
    <w:rsid w:val="00C267AA"/>
    <w:rsid w:val="00C35D12"/>
    <w:rsid w:val="00C37885"/>
    <w:rsid w:val="00C40D18"/>
    <w:rsid w:val="00C4161B"/>
    <w:rsid w:val="00C41B79"/>
    <w:rsid w:val="00C436EC"/>
    <w:rsid w:val="00C44637"/>
    <w:rsid w:val="00C46094"/>
    <w:rsid w:val="00C51F05"/>
    <w:rsid w:val="00C526BB"/>
    <w:rsid w:val="00C526F2"/>
    <w:rsid w:val="00C563CE"/>
    <w:rsid w:val="00C574AC"/>
    <w:rsid w:val="00C60EB8"/>
    <w:rsid w:val="00C61AA5"/>
    <w:rsid w:val="00C6338D"/>
    <w:rsid w:val="00C6537D"/>
    <w:rsid w:val="00C65B00"/>
    <w:rsid w:val="00C65DDA"/>
    <w:rsid w:val="00C728D8"/>
    <w:rsid w:val="00C76480"/>
    <w:rsid w:val="00C77268"/>
    <w:rsid w:val="00C801CB"/>
    <w:rsid w:val="00C8153B"/>
    <w:rsid w:val="00C82D70"/>
    <w:rsid w:val="00C833EE"/>
    <w:rsid w:val="00C83BAC"/>
    <w:rsid w:val="00C909E4"/>
    <w:rsid w:val="00C922CF"/>
    <w:rsid w:val="00C955F1"/>
    <w:rsid w:val="00C955FA"/>
    <w:rsid w:val="00C96BB8"/>
    <w:rsid w:val="00CA22FB"/>
    <w:rsid w:val="00CA3CD0"/>
    <w:rsid w:val="00CA5A11"/>
    <w:rsid w:val="00CB1236"/>
    <w:rsid w:val="00CB1850"/>
    <w:rsid w:val="00CB2B0E"/>
    <w:rsid w:val="00CB2E93"/>
    <w:rsid w:val="00CB5C94"/>
    <w:rsid w:val="00CB5D3C"/>
    <w:rsid w:val="00CB7673"/>
    <w:rsid w:val="00CB7756"/>
    <w:rsid w:val="00CC04BA"/>
    <w:rsid w:val="00CC101C"/>
    <w:rsid w:val="00CC1038"/>
    <w:rsid w:val="00CC10E8"/>
    <w:rsid w:val="00CC356F"/>
    <w:rsid w:val="00CC45A3"/>
    <w:rsid w:val="00CC7489"/>
    <w:rsid w:val="00CD3FB5"/>
    <w:rsid w:val="00CD43BD"/>
    <w:rsid w:val="00CD6B93"/>
    <w:rsid w:val="00CD7B70"/>
    <w:rsid w:val="00CE2916"/>
    <w:rsid w:val="00CE45EC"/>
    <w:rsid w:val="00CE527A"/>
    <w:rsid w:val="00CE557B"/>
    <w:rsid w:val="00CE55D6"/>
    <w:rsid w:val="00CE611E"/>
    <w:rsid w:val="00CE6F2B"/>
    <w:rsid w:val="00CE7295"/>
    <w:rsid w:val="00CE7EF2"/>
    <w:rsid w:val="00CF26FD"/>
    <w:rsid w:val="00CF2843"/>
    <w:rsid w:val="00CF2BF5"/>
    <w:rsid w:val="00CF3485"/>
    <w:rsid w:val="00CF479C"/>
    <w:rsid w:val="00CF55D2"/>
    <w:rsid w:val="00D00BFE"/>
    <w:rsid w:val="00D00DA1"/>
    <w:rsid w:val="00D023EF"/>
    <w:rsid w:val="00D044F6"/>
    <w:rsid w:val="00D04536"/>
    <w:rsid w:val="00D04E9D"/>
    <w:rsid w:val="00D07D04"/>
    <w:rsid w:val="00D11040"/>
    <w:rsid w:val="00D11898"/>
    <w:rsid w:val="00D11A7C"/>
    <w:rsid w:val="00D127BD"/>
    <w:rsid w:val="00D1323B"/>
    <w:rsid w:val="00D13500"/>
    <w:rsid w:val="00D173A6"/>
    <w:rsid w:val="00D17AC9"/>
    <w:rsid w:val="00D17AE1"/>
    <w:rsid w:val="00D21176"/>
    <w:rsid w:val="00D23F51"/>
    <w:rsid w:val="00D25ED4"/>
    <w:rsid w:val="00D27410"/>
    <w:rsid w:val="00D27F9E"/>
    <w:rsid w:val="00D335F8"/>
    <w:rsid w:val="00D3494F"/>
    <w:rsid w:val="00D35EF5"/>
    <w:rsid w:val="00D360A9"/>
    <w:rsid w:val="00D370A4"/>
    <w:rsid w:val="00D37A8E"/>
    <w:rsid w:val="00D41BFD"/>
    <w:rsid w:val="00D42814"/>
    <w:rsid w:val="00D431E9"/>
    <w:rsid w:val="00D43F8A"/>
    <w:rsid w:val="00D4450B"/>
    <w:rsid w:val="00D45A47"/>
    <w:rsid w:val="00D45E87"/>
    <w:rsid w:val="00D51A2A"/>
    <w:rsid w:val="00D51AB7"/>
    <w:rsid w:val="00D55000"/>
    <w:rsid w:val="00D575AC"/>
    <w:rsid w:val="00D605BE"/>
    <w:rsid w:val="00D608DA"/>
    <w:rsid w:val="00D61D69"/>
    <w:rsid w:val="00D63AC0"/>
    <w:rsid w:val="00D710C9"/>
    <w:rsid w:val="00D71A0B"/>
    <w:rsid w:val="00D72A3B"/>
    <w:rsid w:val="00D74145"/>
    <w:rsid w:val="00D74466"/>
    <w:rsid w:val="00D802E1"/>
    <w:rsid w:val="00D8047A"/>
    <w:rsid w:val="00D84FC0"/>
    <w:rsid w:val="00D85B8B"/>
    <w:rsid w:val="00D93B32"/>
    <w:rsid w:val="00D94987"/>
    <w:rsid w:val="00D97BBB"/>
    <w:rsid w:val="00DA428B"/>
    <w:rsid w:val="00DA673D"/>
    <w:rsid w:val="00DB03C1"/>
    <w:rsid w:val="00DB3717"/>
    <w:rsid w:val="00DB4433"/>
    <w:rsid w:val="00DB479F"/>
    <w:rsid w:val="00DB6822"/>
    <w:rsid w:val="00DB6A5C"/>
    <w:rsid w:val="00DC0112"/>
    <w:rsid w:val="00DC10C5"/>
    <w:rsid w:val="00DC1199"/>
    <w:rsid w:val="00DC4097"/>
    <w:rsid w:val="00DC4E6A"/>
    <w:rsid w:val="00DC5155"/>
    <w:rsid w:val="00DC5972"/>
    <w:rsid w:val="00DC7137"/>
    <w:rsid w:val="00DD09FD"/>
    <w:rsid w:val="00DD25E4"/>
    <w:rsid w:val="00DD5A70"/>
    <w:rsid w:val="00DE21A4"/>
    <w:rsid w:val="00DE22E5"/>
    <w:rsid w:val="00DE296E"/>
    <w:rsid w:val="00DE2E78"/>
    <w:rsid w:val="00DE6C2B"/>
    <w:rsid w:val="00DE7F8B"/>
    <w:rsid w:val="00DF05FD"/>
    <w:rsid w:val="00DF6F61"/>
    <w:rsid w:val="00E01573"/>
    <w:rsid w:val="00E02247"/>
    <w:rsid w:val="00E050C0"/>
    <w:rsid w:val="00E05DCC"/>
    <w:rsid w:val="00E072F0"/>
    <w:rsid w:val="00E07752"/>
    <w:rsid w:val="00E079B6"/>
    <w:rsid w:val="00E10E19"/>
    <w:rsid w:val="00E11ADE"/>
    <w:rsid w:val="00E11D99"/>
    <w:rsid w:val="00E12A6F"/>
    <w:rsid w:val="00E12C79"/>
    <w:rsid w:val="00E13029"/>
    <w:rsid w:val="00E1345F"/>
    <w:rsid w:val="00E14008"/>
    <w:rsid w:val="00E14CAE"/>
    <w:rsid w:val="00E1551D"/>
    <w:rsid w:val="00E1574A"/>
    <w:rsid w:val="00E2016F"/>
    <w:rsid w:val="00E26ECE"/>
    <w:rsid w:val="00E31512"/>
    <w:rsid w:val="00E32C0A"/>
    <w:rsid w:val="00E33C36"/>
    <w:rsid w:val="00E34EBB"/>
    <w:rsid w:val="00E36DEE"/>
    <w:rsid w:val="00E37327"/>
    <w:rsid w:val="00E37595"/>
    <w:rsid w:val="00E4112A"/>
    <w:rsid w:val="00E43E6A"/>
    <w:rsid w:val="00E46449"/>
    <w:rsid w:val="00E504F3"/>
    <w:rsid w:val="00E52EA7"/>
    <w:rsid w:val="00E54B55"/>
    <w:rsid w:val="00E55A4D"/>
    <w:rsid w:val="00E569EC"/>
    <w:rsid w:val="00E56FF3"/>
    <w:rsid w:val="00E709F0"/>
    <w:rsid w:val="00E73CF9"/>
    <w:rsid w:val="00E76DD1"/>
    <w:rsid w:val="00E80729"/>
    <w:rsid w:val="00E822E5"/>
    <w:rsid w:val="00E82B6A"/>
    <w:rsid w:val="00E8448F"/>
    <w:rsid w:val="00E8669E"/>
    <w:rsid w:val="00E87187"/>
    <w:rsid w:val="00EA021F"/>
    <w:rsid w:val="00EA14FA"/>
    <w:rsid w:val="00EB4DB5"/>
    <w:rsid w:val="00EB5A7C"/>
    <w:rsid w:val="00EB5B17"/>
    <w:rsid w:val="00EB6E54"/>
    <w:rsid w:val="00EC7151"/>
    <w:rsid w:val="00EC7255"/>
    <w:rsid w:val="00ED00CD"/>
    <w:rsid w:val="00ED119C"/>
    <w:rsid w:val="00ED43AB"/>
    <w:rsid w:val="00ED4900"/>
    <w:rsid w:val="00ED498E"/>
    <w:rsid w:val="00ED6AC8"/>
    <w:rsid w:val="00ED7AC9"/>
    <w:rsid w:val="00EE0ED4"/>
    <w:rsid w:val="00EE1C40"/>
    <w:rsid w:val="00EE273A"/>
    <w:rsid w:val="00EE3559"/>
    <w:rsid w:val="00EE3D91"/>
    <w:rsid w:val="00EE58E9"/>
    <w:rsid w:val="00EE5F1D"/>
    <w:rsid w:val="00EE6D42"/>
    <w:rsid w:val="00EF4B1D"/>
    <w:rsid w:val="00EF6C00"/>
    <w:rsid w:val="00EF6E08"/>
    <w:rsid w:val="00EF70E1"/>
    <w:rsid w:val="00EF7A8C"/>
    <w:rsid w:val="00EF7C25"/>
    <w:rsid w:val="00F01405"/>
    <w:rsid w:val="00F0160B"/>
    <w:rsid w:val="00F02C4D"/>
    <w:rsid w:val="00F0339E"/>
    <w:rsid w:val="00F03994"/>
    <w:rsid w:val="00F04C44"/>
    <w:rsid w:val="00F0797A"/>
    <w:rsid w:val="00F127AF"/>
    <w:rsid w:val="00F13578"/>
    <w:rsid w:val="00F166A6"/>
    <w:rsid w:val="00F1746F"/>
    <w:rsid w:val="00F23B2A"/>
    <w:rsid w:val="00F24334"/>
    <w:rsid w:val="00F24395"/>
    <w:rsid w:val="00F257CC"/>
    <w:rsid w:val="00F27A5A"/>
    <w:rsid w:val="00F30DB2"/>
    <w:rsid w:val="00F315BB"/>
    <w:rsid w:val="00F31A30"/>
    <w:rsid w:val="00F33711"/>
    <w:rsid w:val="00F33AD7"/>
    <w:rsid w:val="00F33DA2"/>
    <w:rsid w:val="00F346CC"/>
    <w:rsid w:val="00F35C33"/>
    <w:rsid w:val="00F40AA8"/>
    <w:rsid w:val="00F4125F"/>
    <w:rsid w:val="00F45879"/>
    <w:rsid w:val="00F45FFB"/>
    <w:rsid w:val="00F50840"/>
    <w:rsid w:val="00F50844"/>
    <w:rsid w:val="00F55FAB"/>
    <w:rsid w:val="00F604EE"/>
    <w:rsid w:val="00F60941"/>
    <w:rsid w:val="00F66312"/>
    <w:rsid w:val="00F72717"/>
    <w:rsid w:val="00F72A7F"/>
    <w:rsid w:val="00F72BA5"/>
    <w:rsid w:val="00F73DED"/>
    <w:rsid w:val="00F745B4"/>
    <w:rsid w:val="00F74709"/>
    <w:rsid w:val="00F7564A"/>
    <w:rsid w:val="00F80E1A"/>
    <w:rsid w:val="00F81918"/>
    <w:rsid w:val="00F84D4A"/>
    <w:rsid w:val="00F85B1F"/>
    <w:rsid w:val="00F94DD6"/>
    <w:rsid w:val="00F97341"/>
    <w:rsid w:val="00F97430"/>
    <w:rsid w:val="00F97E5A"/>
    <w:rsid w:val="00FA05CD"/>
    <w:rsid w:val="00FA08F7"/>
    <w:rsid w:val="00FA24C2"/>
    <w:rsid w:val="00FA6FD4"/>
    <w:rsid w:val="00FA705D"/>
    <w:rsid w:val="00FA7F73"/>
    <w:rsid w:val="00FB3054"/>
    <w:rsid w:val="00FB373B"/>
    <w:rsid w:val="00FB5FFD"/>
    <w:rsid w:val="00FB6403"/>
    <w:rsid w:val="00FB7B52"/>
    <w:rsid w:val="00FC0124"/>
    <w:rsid w:val="00FC098B"/>
    <w:rsid w:val="00FC1168"/>
    <w:rsid w:val="00FC2DB1"/>
    <w:rsid w:val="00FC3447"/>
    <w:rsid w:val="00FC516F"/>
    <w:rsid w:val="00FC70F6"/>
    <w:rsid w:val="00FD04D2"/>
    <w:rsid w:val="00FD4621"/>
    <w:rsid w:val="00FD5FD2"/>
    <w:rsid w:val="00FD7689"/>
    <w:rsid w:val="00FD7FCE"/>
    <w:rsid w:val="00FE0453"/>
    <w:rsid w:val="00FE249A"/>
    <w:rsid w:val="00FE26FF"/>
    <w:rsid w:val="00FE37F3"/>
    <w:rsid w:val="00FE39B0"/>
    <w:rsid w:val="00FE4DC8"/>
    <w:rsid w:val="00FE5DAD"/>
    <w:rsid w:val="00FE6CB0"/>
    <w:rsid w:val="00FF2195"/>
    <w:rsid w:val="00FF4629"/>
    <w:rsid w:val="00FF56A9"/>
    <w:rsid w:val="00FF76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14:docId w14:val="667E327B"/>
  <w15:docId w15:val="{C7D3F1F0-A036-4BF2-A2E2-3F22D77C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6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aliases w:val="All text list Paragraph,F5 List Paragraph,List Paragraph2,MAIN CONTENT,List Paragraph12,Dot pt,List Paragraph1,No Spacing1,List Paragraph Char Char Char,Indicator Text,Numbered Para 1,Bullet Points,Bullet 1,L,Párrafo de lista,Body Texte"/>
    <w:basedOn w:val="Normal"/>
    <w:link w:val="ListParagraphChar"/>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customStyle="1" w:styleId="Heading1Char">
    <w:name w:val="Heading 1 Char"/>
    <w:basedOn w:val="DefaultParagraphFont"/>
    <w:link w:val="Heading1"/>
    <w:uiPriority w:val="9"/>
    <w:rsid w:val="005B4692"/>
    <w:rPr>
      <w:rFonts w:asciiTheme="majorHAnsi" w:eastAsiaTheme="majorEastAsia" w:hAnsiTheme="majorHAnsi" w:cstheme="majorBidi"/>
      <w:color w:val="365F91" w:themeColor="accent1" w:themeShade="BF"/>
      <w:sz w:val="32"/>
      <w:szCs w:val="32"/>
    </w:rPr>
  </w:style>
  <w:style w:type="paragraph" w:customStyle="1" w:styleId="Default">
    <w:name w:val="Default"/>
    <w:rsid w:val="00711DE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All text list Paragraph Char,F5 List Paragraph Char,List Paragraph2 Char,MAIN CONTENT Char,List Paragraph12 Char,Dot pt Char,List Paragraph1 Char,No Spacing1 Char,List Paragraph Char Char Char Char,Indicator Text Char,Bullet 1 Char"/>
    <w:basedOn w:val="DefaultParagraphFont"/>
    <w:link w:val="ListParagraph"/>
    <w:uiPriority w:val="34"/>
    <w:qFormat/>
    <w:locked/>
    <w:rsid w:val="00B53F68"/>
    <w:rPr>
      <w:rFonts w:ascii="Arial" w:hAnsi="Arial"/>
    </w:rPr>
  </w:style>
  <w:style w:type="character" w:styleId="FollowedHyperlink">
    <w:name w:val="FollowedHyperlink"/>
    <w:basedOn w:val="DefaultParagraphFont"/>
    <w:uiPriority w:val="99"/>
    <w:semiHidden/>
    <w:unhideWhenUsed/>
    <w:rsid w:val="00953F39"/>
    <w:rPr>
      <w:color w:val="800080" w:themeColor="followedHyperlink"/>
      <w:u w:val="single"/>
    </w:rPr>
  </w:style>
  <w:style w:type="paragraph" w:styleId="Revision">
    <w:name w:val="Revision"/>
    <w:hidden/>
    <w:uiPriority w:val="99"/>
    <w:semiHidden/>
    <w:rsid w:val="00C909E4"/>
    <w:pPr>
      <w:spacing w:after="0" w:line="240" w:lineRule="auto"/>
    </w:pPr>
  </w:style>
  <w:style w:type="paragraph" w:customStyle="1" w:styleId="pf0">
    <w:name w:val="pf0"/>
    <w:basedOn w:val="Normal"/>
    <w:rsid w:val="00500D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00D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182717644">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590354290">
      <w:bodyDiv w:val="1"/>
      <w:marLeft w:val="0"/>
      <w:marRight w:val="0"/>
      <w:marTop w:val="0"/>
      <w:marBottom w:val="0"/>
      <w:divBdr>
        <w:top w:val="none" w:sz="0" w:space="0" w:color="auto"/>
        <w:left w:val="none" w:sz="0" w:space="0" w:color="auto"/>
        <w:bottom w:val="none" w:sz="0" w:space="0" w:color="auto"/>
        <w:right w:val="none" w:sz="0" w:space="0" w:color="auto"/>
      </w:divBdr>
    </w:div>
    <w:div w:id="696859276">
      <w:bodyDiv w:val="1"/>
      <w:marLeft w:val="0"/>
      <w:marRight w:val="0"/>
      <w:marTop w:val="0"/>
      <w:marBottom w:val="0"/>
      <w:divBdr>
        <w:top w:val="none" w:sz="0" w:space="0" w:color="auto"/>
        <w:left w:val="none" w:sz="0" w:space="0" w:color="auto"/>
        <w:bottom w:val="none" w:sz="0" w:space="0" w:color="auto"/>
        <w:right w:val="none" w:sz="0" w:space="0" w:color="auto"/>
      </w:divBdr>
    </w:div>
    <w:div w:id="702366551">
      <w:bodyDiv w:val="1"/>
      <w:marLeft w:val="0"/>
      <w:marRight w:val="0"/>
      <w:marTop w:val="0"/>
      <w:marBottom w:val="0"/>
      <w:divBdr>
        <w:top w:val="none" w:sz="0" w:space="0" w:color="auto"/>
        <w:left w:val="none" w:sz="0" w:space="0" w:color="auto"/>
        <w:bottom w:val="none" w:sz="0" w:space="0" w:color="auto"/>
        <w:right w:val="none" w:sz="0" w:space="0" w:color="auto"/>
      </w:divBdr>
    </w:div>
    <w:div w:id="728652894">
      <w:bodyDiv w:val="1"/>
      <w:marLeft w:val="0"/>
      <w:marRight w:val="0"/>
      <w:marTop w:val="0"/>
      <w:marBottom w:val="0"/>
      <w:divBdr>
        <w:top w:val="none" w:sz="0" w:space="0" w:color="auto"/>
        <w:left w:val="none" w:sz="0" w:space="0" w:color="auto"/>
        <w:bottom w:val="none" w:sz="0" w:space="0" w:color="auto"/>
        <w:right w:val="none" w:sz="0" w:space="0" w:color="auto"/>
      </w:divBdr>
    </w:div>
    <w:div w:id="785465832">
      <w:bodyDiv w:val="1"/>
      <w:marLeft w:val="0"/>
      <w:marRight w:val="0"/>
      <w:marTop w:val="0"/>
      <w:marBottom w:val="0"/>
      <w:divBdr>
        <w:top w:val="none" w:sz="0" w:space="0" w:color="auto"/>
        <w:left w:val="none" w:sz="0" w:space="0" w:color="auto"/>
        <w:bottom w:val="none" w:sz="0" w:space="0" w:color="auto"/>
        <w:right w:val="none" w:sz="0" w:space="0" w:color="auto"/>
      </w:divBdr>
    </w:div>
    <w:div w:id="928848131">
      <w:bodyDiv w:val="1"/>
      <w:marLeft w:val="0"/>
      <w:marRight w:val="0"/>
      <w:marTop w:val="0"/>
      <w:marBottom w:val="0"/>
      <w:divBdr>
        <w:top w:val="none" w:sz="0" w:space="0" w:color="auto"/>
        <w:left w:val="none" w:sz="0" w:space="0" w:color="auto"/>
        <w:bottom w:val="none" w:sz="0" w:space="0" w:color="auto"/>
        <w:right w:val="none" w:sz="0" w:space="0" w:color="auto"/>
      </w:divBdr>
    </w:div>
    <w:div w:id="936862725">
      <w:bodyDiv w:val="1"/>
      <w:marLeft w:val="0"/>
      <w:marRight w:val="0"/>
      <w:marTop w:val="0"/>
      <w:marBottom w:val="0"/>
      <w:divBdr>
        <w:top w:val="none" w:sz="0" w:space="0" w:color="auto"/>
        <w:left w:val="none" w:sz="0" w:space="0" w:color="auto"/>
        <w:bottom w:val="none" w:sz="0" w:space="0" w:color="auto"/>
        <w:right w:val="none" w:sz="0" w:space="0" w:color="auto"/>
      </w:divBdr>
    </w:div>
    <w:div w:id="986671330">
      <w:bodyDiv w:val="1"/>
      <w:marLeft w:val="0"/>
      <w:marRight w:val="0"/>
      <w:marTop w:val="0"/>
      <w:marBottom w:val="0"/>
      <w:divBdr>
        <w:top w:val="none" w:sz="0" w:space="0" w:color="auto"/>
        <w:left w:val="none" w:sz="0" w:space="0" w:color="auto"/>
        <w:bottom w:val="none" w:sz="0" w:space="0" w:color="auto"/>
        <w:right w:val="none" w:sz="0" w:space="0" w:color="auto"/>
      </w:divBdr>
    </w:div>
    <w:div w:id="1028338860">
      <w:bodyDiv w:val="1"/>
      <w:marLeft w:val="0"/>
      <w:marRight w:val="0"/>
      <w:marTop w:val="0"/>
      <w:marBottom w:val="0"/>
      <w:divBdr>
        <w:top w:val="none" w:sz="0" w:space="0" w:color="auto"/>
        <w:left w:val="none" w:sz="0" w:space="0" w:color="auto"/>
        <w:bottom w:val="none" w:sz="0" w:space="0" w:color="auto"/>
        <w:right w:val="none" w:sz="0" w:space="0" w:color="auto"/>
      </w:divBdr>
    </w:div>
    <w:div w:id="1031879346">
      <w:bodyDiv w:val="1"/>
      <w:marLeft w:val="0"/>
      <w:marRight w:val="0"/>
      <w:marTop w:val="0"/>
      <w:marBottom w:val="0"/>
      <w:divBdr>
        <w:top w:val="none" w:sz="0" w:space="0" w:color="auto"/>
        <w:left w:val="none" w:sz="0" w:space="0" w:color="auto"/>
        <w:bottom w:val="none" w:sz="0" w:space="0" w:color="auto"/>
        <w:right w:val="none" w:sz="0" w:space="0" w:color="auto"/>
      </w:divBdr>
    </w:div>
    <w:div w:id="1049184924">
      <w:bodyDiv w:val="1"/>
      <w:marLeft w:val="0"/>
      <w:marRight w:val="0"/>
      <w:marTop w:val="0"/>
      <w:marBottom w:val="0"/>
      <w:divBdr>
        <w:top w:val="none" w:sz="0" w:space="0" w:color="auto"/>
        <w:left w:val="none" w:sz="0" w:space="0" w:color="auto"/>
        <w:bottom w:val="none" w:sz="0" w:space="0" w:color="auto"/>
        <w:right w:val="none" w:sz="0" w:space="0" w:color="auto"/>
      </w:divBdr>
    </w:div>
    <w:div w:id="1083995253">
      <w:bodyDiv w:val="1"/>
      <w:marLeft w:val="0"/>
      <w:marRight w:val="0"/>
      <w:marTop w:val="0"/>
      <w:marBottom w:val="0"/>
      <w:divBdr>
        <w:top w:val="none" w:sz="0" w:space="0" w:color="auto"/>
        <w:left w:val="none" w:sz="0" w:space="0" w:color="auto"/>
        <w:bottom w:val="none" w:sz="0" w:space="0" w:color="auto"/>
        <w:right w:val="none" w:sz="0" w:space="0" w:color="auto"/>
      </w:divBdr>
    </w:div>
    <w:div w:id="1094130989">
      <w:bodyDiv w:val="1"/>
      <w:marLeft w:val="0"/>
      <w:marRight w:val="0"/>
      <w:marTop w:val="0"/>
      <w:marBottom w:val="0"/>
      <w:divBdr>
        <w:top w:val="none" w:sz="0" w:space="0" w:color="auto"/>
        <w:left w:val="none" w:sz="0" w:space="0" w:color="auto"/>
        <w:bottom w:val="none" w:sz="0" w:space="0" w:color="auto"/>
        <w:right w:val="none" w:sz="0" w:space="0" w:color="auto"/>
      </w:divBdr>
    </w:div>
    <w:div w:id="1099108038">
      <w:bodyDiv w:val="1"/>
      <w:marLeft w:val="0"/>
      <w:marRight w:val="0"/>
      <w:marTop w:val="0"/>
      <w:marBottom w:val="0"/>
      <w:divBdr>
        <w:top w:val="none" w:sz="0" w:space="0" w:color="auto"/>
        <w:left w:val="none" w:sz="0" w:space="0" w:color="auto"/>
        <w:bottom w:val="none" w:sz="0" w:space="0" w:color="auto"/>
        <w:right w:val="none" w:sz="0" w:space="0" w:color="auto"/>
      </w:divBdr>
    </w:div>
    <w:div w:id="1124730437">
      <w:bodyDiv w:val="1"/>
      <w:marLeft w:val="0"/>
      <w:marRight w:val="0"/>
      <w:marTop w:val="0"/>
      <w:marBottom w:val="0"/>
      <w:divBdr>
        <w:top w:val="none" w:sz="0" w:space="0" w:color="auto"/>
        <w:left w:val="none" w:sz="0" w:space="0" w:color="auto"/>
        <w:bottom w:val="none" w:sz="0" w:space="0" w:color="auto"/>
        <w:right w:val="none" w:sz="0" w:space="0" w:color="auto"/>
      </w:divBdr>
    </w:div>
    <w:div w:id="1134132139">
      <w:bodyDiv w:val="1"/>
      <w:marLeft w:val="0"/>
      <w:marRight w:val="0"/>
      <w:marTop w:val="0"/>
      <w:marBottom w:val="0"/>
      <w:divBdr>
        <w:top w:val="none" w:sz="0" w:space="0" w:color="auto"/>
        <w:left w:val="none" w:sz="0" w:space="0" w:color="auto"/>
        <w:bottom w:val="none" w:sz="0" w:space="0" w:color="auto"/>
        <w:right w:val="none" w:sz="0" w:space="0" w:color="auto"/>
      </w:divBdr>
    </w:div>
    <w:div w:id="1442456352">
      <w:bodyDiv w:val="1"/>
      <w:marLeft w:val="0"/>
      <w:marRight w:val="0"/>
      <w:marTop w:val="0"/>
      <w:marBottom w:val="0"/>
      <w:divBdr>
        <w:top w:val="none" w:sz="0" w:space="0" w:color="auto"/>
        <w:left w:val="none" w:sz="0" w:space="0" w:color="auto"/>
        <w:bottom w:val="none" w:sz="0" w:space="0" w:color="auto"/>
        <w:right w:val="none" w:sz="0" w:space="0" w:color="auto"/>
      </w:divBdr>
    </w:div>
    <w:div w:id="1444569764">
      <w:bodyDiv w:val="1"/>
      <w:marLeft w:val="0"/>
      <w:marRight w:val="0"/>
      <w:marTop w:val="0"/>
      <w:marBottom w:val="0"/>
      <w:divBdr>
        <w:top w:val="none" w:sz="0" w:space="0" w:color="auto"/>
        <w:left w:val="none" w:sz="0" w:space="0" w:color="auto"/>
        <w:bottom w:val="none" w:sz="0" w:space="0" w:color="auto"/>
        <w:right w:val="none" w:sz="0" w:space="0" w:color="auto"/>
      </w:divBdr>
    </w:div>
    <w:div w:id="1537499295">
      <w:bodyDiv w:val="1"/>
      <w:marLeft w:val="0"/>
      <w:marRight w:val="0"/>
      <w:marTop w:val="0"/>
      <w:marBottom w:val="0"/>
      <w:divBdr>
        <w:top w:val="none" w:sz="0" w:space="0" w:color="auto"/>
        <w:left w:val="none" w:sz="0" w:space="0" w:color="auto"/>
        <w:bottom w:val="none" w:sz="0" w:space="0" w:color="auto"/>
        <w:right w:val="none" w:sz="0" w:space="0" w:color="auto"/>
      </w:divBdr>
    </w:div>
    <w:div w:id="1547061145">
      <w:bodyDiv w:val="1"/>
      <w:marLeft w:val="0"/>
      <w:marRight w:val="0"/>
      <w:marTop w:val="0"/>
      <w:marBottom w:val="0"/>
      <w:divBdr>
        <w:top w:val="none" w:sz="0" w:space="0" w:color="auto"/>
        <w:left w:val="none" w:sz="0" w:space="0" w:color="auto"/>
        <w:bottom w:val="none" w:sz="0" w:space="0" w:color="auto"/>
        <w:right w:val="none" w:sz="0" w:space="0" w:color="auto"/>
      </w:divBdr>
    </w:div>
    <w:div w:id="1597589309">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342291">
      <w:bodyDiv w:val="1"/>
      <w:marLeft w:val="0"/>
      <w:marRight w:val="0"/>
      <w:marTop w:val="0"/>
      <w:marBottom w:val="0"/>
      <w:divBdr>
        <w:top w:val="none" w:sz="0" w:space="0" w:color="auto"/>
        <w:left w:val="none" w:sz="0" w:space="0" w:color="auto"/>
        <w:bottom w:val="none" w:sz="0" w:space="0" w:color="auto"/>
        <w:right w:val="none" w:sz="0" w:space="0" w:color="auto"/>
      </w:divBdr>
    </w:div>
    <w:div w:id="1782993448">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96345942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tureChargingandAccess@ofgem.gov.uk"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imperial.ac.uk/energy-futures-lab/reports/Whole-System-Value-of-Long-Duration-Energy-Storage-in-a-Net-Zero-Emission-Energy-System-for-Great-Britai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6329B03414F5B8BEB69D4B72A5C10"/>
        <w:category>
          <w:name w:val="General"/>
          <w:gallery w:val="placeholder"/>
        </w:category>
        <w:types>
          <w:type w:val="bbPlcHdr"/>
        </w:types>
        <w:behaviors>
          <w:behavior w:val="content"/>
        </w:behaviors>
        <w:guid w:val="{5111158E-2916-49D1-BB02-C1A5849A19D1}"/>
      </w:docPartPr>
      <w:docPartBody>
        <w:p w:rsidR="00E02FA8" w:rsidRDefault="00B17EC4">
          <w:pPr>
            <w:pStyle w:val="D026329B03414F5B8BEB69D4B72A5C10"/>
          </w:pPr>
          <w:r w:rsidRPr="00315CF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EC4"/>
    <w:rsid w:val="000B2A3C"/>
    <w:rsid w:val="0044622C"/>
    <w:rsid w:val="00626EDC"/>
    <w:rsid w:val="00B17EC4"/>
    <w:rsid w:val="00E02FA8"/>
    <w:rsid w:val="00E053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26329B03414F5B8BEB69D4B72A5C10">
    <w:name w:val="D026329B03414F5B8BEB69D4B72A5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Document" ma:contentTypeID="0x0101009AA1DC2EC3B316478CE20CAA0A6BC2C100168F42F8D2C10C48A80BE2B958F88C4A" ma:contentTypeVersion="13" ma:contentTypeDescription="Create a new document." ma:contentTypeScope="" ma:versionID="949dd612fdd17692e2bf9a0eb527d59e">
  <xsd:schema xmlns:xsd="http://www.w3.org/2001/XMLSchema" xmlns:xs="http://www.w3.org/2001/XMLSchema" xmlns:p="http://schemas.microsoft.com/office/2006/metadata/properties" xmlns:ns1="http://schemas.microsoft.com/sharepoint/v3" xmlns:ns2="9093acf3-be6d-40ef-a599-a0acefafb49d" xmlns:ns3="d5dfec62-5a7a-4bf7-939c-e6d3f257bb81" targetNamespace="http://schemas.microsoft.com/office/2006/metadata/properties" ma:root="true" ma:fieldsID="cfd2b72f12388df810cbda8d073af54a" ns1:_="" ns2:_="" ns3:_="">
    <xsd:import namespace="http://schemas.microsoft.com/sharepoint/v3"/>
    <xsd:import namespace="9093acf3-be6d-40ef-a599-a0acefafb49d"/>
    <xsd:import namespace="d5dfec62-5a7a-4bf7-939c-e6d3f257bb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Tag" minOccurs="0"/>
                <xsd:element ref="ns2:Author_x002f_Owner"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3acf3-be6d-40ef-a599-a0acefafb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 ma:index="14" nillable="true" ma:displayName="Tag" ma:internalName="Tag">
      <xsd:complexType>
        <xsd:complexContent>
          <xsd:extension base="dms:MultiChoiceFillIn">
            <xsd:sequence>
              <xsd:element name="Value" maxOccurs="unbounded" minOccurs="0" nillable="true">
                <xsd:simpleType>
                  <xsd:union memberTypes="dms:Text">
                    <xsd:simpleType>
                      <xsd:restriction base="dms:Choice">
                        <xsd:enumeration value="Grid Connections"/>
                        <xsd:enumeration value="Grid Charging"/>
                        <xsd:enumeration value="RES Response"/>
                      </xsd:restriction>
                    </xsd:simpleType>
                  </xsd:union>
                </xsd:simpleType>
              </xsd:element>
            </xsd:sequence>
          </xsd:extension>
        </xsd:complexContent>
      </xsd:complexType>
    </xsd:element>
    <xsd:element name="Author_x002f_Owner" ma:index="15" nillable="true" ma:displayName="Author/Owner" ma:description="Who published this document?" ma:internalName="Author_x002f_Owner">
      <xsd:simpleType>
        <xsd:restriction base="dms:Text">
          <xsd:maxLength value="255"/>
        </xsd:restriction>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fec62-5a7a-4bf7-939c-e6d3f257bb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thor_x002f_Owner xmlns="9093acf3-be6d-40ef-a599-a0acefafb49d" xsi:nil="true"/>
    <_ip_UnifiedCompliancePolicyProperties xmlns="http://schemas.microsoft.com/sharepoint/v3" xsi:nil="true"/>
    <Tag xmlns="9093acf3-be6d-40ef-a599-a0acefafb49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1FBF-A3D4-4936-A804-2682A452DC8F}">
  <ds:schemaRefs>
    <ds:schemaRef ds:uri="http://schemas.microsoft.com/sharepoint/v3/contenttype/forms"/>
  </ds:schemaRefs>
</ds:datastoreItem>
</file>

<file path=customXml/itemProps2.xml><?xml version="1.0" encoding="utf-8"?>
<ds:datastoreItem xmlns:ds="http://schemas.openxmlformats.org/officeDocument/2006/customXml" ds:itemID="{B7F1CAA6-1FF2-4644-A7F2-475873D98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93acf3-be6d-40ef-a599-a0acefafb49d"/>
    <ds:schemaRef ds:uri="d5dfec62-5a7a-4bf7-939c-e6d3f257b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360B3-29D1-4EA7-B85A-CE7AC10EF0EF}">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9093acf3-be6d-40ef-a599-a0acefafb49d"/>
    <ds:schemaRef ds:uri="http://purl.org/dc/terms/"/>
    <ds:schemaRef ds:uri="http://schemas.openxmlformats.org/package/2006/metadata/core-properties"/>
    <ds:schemaRef ds:uri="d5dfec62-5a7a-4bf7-939c-e6d3f257bb81"/>
    <ds:schemaRef ds:uri="http://schemas.microsoft.com/sharepoint/v3"/>
  </ds:schemaRefs>
</ds:datastoreItem>
</file>

<file path=customXml/itemProps4.xml><?xml version="1.0" encoding="utf-8"?>
<ds:datastoreItem xmlns:ds="http://schemas.openxmlformats.org/officeDocument/2006/customXml" ds:itemID="{626180BB-99D1-4092-9382-1E136BAD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3272</Words>
  <Characters>18657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Smith</dc:creator>
  <cp:lastModifiedBy>Angeles Sandoval</cp:lastModifiedBy>
  <cp:revision>2</cp:revision>
  <cp:lastPrinted>2021-11-11T13:06:00Z</cp:lastPrinted>
  <dcterms:created xsi:type="dcterms:W3CDTF">2022-02-11T09:48:00Z</dcterms:created>
  <dcterms:modified xsi:type="dcterms:W3CDTF">2022-02-11T09:48:00Z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0x0101009AA1DC2EC3B316478CE20CAA0A6BC2C100168F42F8D2C10C48A80BE2B958F88C4A</vt:lpwstr>
  </property>
</Properties>
</file>