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6210" w14:textId="3CB5BC92" w:rsidR="00B912C2" w:rsidRPr="0034068D" w:rsidRDefault="00B96DC7" w:rsidP="00CD43BD">
      <w:pPr>
        <w:rPr>
          <w:rFonts w:ascii="Arial" w:hAnsi="Arial" w:cs="Arial"/>
          <w:sz w:val="20"/>
          <w:szCs w:val="20"/>
        </w:rPr>
      </w:pPr>
      <w:bookmarkStart w:id="0" w:name="_Hlk85468382"/>
      <w:bookmarkEnd w:id="0"/>
      <w:r w:rsidRPr="0034068D">
        <w:rPr>
          <w:rFonts w:ascii="Arial" w:hAnsi="Arial" w:cs="Arial"/>
          <w:sz w:val="20"/>
          <w:szCs w:val="20"/>
        </w:rPr>
        <w:t>Email</w:t>
      </w:r>
      <w:r w:rsidR="00CD43BD" w:rsidRPr="0034068D">
        <w:rPr>
          <w:rFonts w:ascii="Arial" w:hAnsi="Arial" w:cs="Arial"/>
          <w:sz w:val="20"/>
          <w:szCs w:val="20"/>
        </w:rPr>
        <w:t xml:space="preserve"> to:</w:t>
      </w:r>
      <w:r w:rsidR="00990827" w:rsidRPr="0034068D">
        <w:rPr>
          <w:rFonts w:ascii="Arial" w:hAnsi="Arial" w:cs="Arial"/>
          <w:sz w:val="20"/>
          <w:szCs w:val="20"/>
        </w:rPr>
        <w:t xml:space="preserve"> </w:t>
      </w:r>
      <w:r w:rsidR="00990827" w:rsidRPr="0034068D">
        <w:rPr>
          <w:rFonts w:ascii="Arial" w:hAnsi="Arial" w:cs="Arial"/>
          <w:sz w:val="20"/>
          <w:szCs w:val="20"/>
        </w:rPr>
        <w:br/>
      </w:r>
      <w:hyperlink r:id="rId11" w:history="1">
        <w:r w:rsidR="00D432EA" w:rsidRPr="00D432EA">
          <w:rPr>
            <w:rStyle w:val="Hyperlink"/>
            <w:rFonts w:ascii="Arial" w:hAnsi="Arial" w:cs="Arial"/>
            <w:sz w:val="20"/>
            <w:szCs w:val="20"/>
            <w:bdr w:val="single" w:sz="2" w:space="0" w:color="auto" w:frame="1"/>
            <w:shd w:val="clear" w:color="auto" w:fill="FFFFFF"/>
          </w:rPr>
          <w:t>futurechargingandaccess@ofgem.gov.uk</w:t>
        </w:r>
      </w:hyperlink>
      <w:r w:rsidR="00470E96" w:rsidRPr="00D432EA">
        <w:rPr>
          <w:rFonts w:ascii="Arial" w:hAnsi="Arial" w:cs="Arial"/>
          <w:sz w:val="20"/>
          <w:szCs w:val="20"/>
        </w:rPr>
        <w:br/>
      </w:r>
    </w:p>
    <w:sdt>
      <w:sdtPr>
        <w:rPr>
          <w:rFonts w:ascii="Arial" w:hAnsi="Arial" w:cs="Arial"/>
          <w:sz w:val="20"/>
          <w:szCs w:val="20"/>
        </w:rPr>
        <w:alias w:val="Please select the date"/>
        <w:tag w:val="Please select the date"/>
        <w:id w:val="-1603492743"/>
        <w:placeholder>
          <w:docPart w:val="D026329B03414F5B8BEB69D4B72A5C10"/>
        </w:placeholder>
        <w:date w:fullDate="2021-11-25T00:00:00Z">
          <w:dateFormat w:val="dd MMMM yyyy"/>
          <w:lid w:val="en-GB"/>
          <w:storeMappedDataAs w:val="dateTime"/>
          <w:calendar w:val="gregorian"/>
        </w:date>
      </w:sdtPr>
      <w:sdtEndPr/>
      <w:sdtContent>
        <w:p w14:paraId="2668A966" w14:textId="74220AAE" w:rsidR="00EC7255" w:rsidRPr="0034068D" w:rsidRDefault="000A6071" w:rsidP="000A48D0">
          <w:pPr>
            <w:jc w:val="both"/>
            <w:rPr>
              <w:rFonts w:ascii="Arial" w:hAnsi="Arial" w:cs="Arial"/>
              <w:sz w:val="20"/>
              <w:szCs w:val="20"/>
            </w:rPr>
          </w:pPr>
          <w:r>
            <w:rPr>
              <w:rFonts w:ascii="Arial" w:hAnsi="Arial" w:cs="Arial"/>
              <w:sz w:val="20"/>
              <w:szCs w:val="20"/>
            </w:rPr>
            <w:t>2</w:t>
          </w:r>
          <w:r w:rsidR="005F3C75">
            <w:rPr>
              <w:rFonts w:ascii="Arial" w:hAnsi="Arial" w:cs="Arial"/>
              <w:sz w:val="20"/>
              <w:szCs w:val="20"/>
            </w:rPr>
            <w:t>5</w:t>
          </w:r>
          <w:r w:rsidR="00D432EA">
            <w:rPr>
              <w:rFonts w:ascii="Arial" w:hAnsi="Arial" w:cs="Arial"/>
              <w:sz w:val="20"/>
              <w:szCs w:val="20"/>
            </w:rPr>
            <w:t xml:space="preserve"> November 2021</w:t>
          </w:r>
        </w:p>
      </w:sdtContent>
    </w:sdt>
    <w:p w14:paraId="183780A1" w14:textId="77777777" w:rsidR="00B912C2" w:rsidRPr="0034068D" w:rsidRDefault="00B912C2" w:rsidP="000A48D0">
      <w:pPr>
        <w:jc w:val="both"/>
        <w:rPr>
          <w:rFonts w:ascii="Arial" w:hAnsi="Arial" w:cs="Arial"/>
          <w:sz w:val="20"/>
          <w:szCs w:val="20"/>
        </w:rPr>
      </w:pPr>
    </w:p>
    <w:p w14:paraId="3E45AF05" w14:textId="12581B20" w:rsidR="00604909" w:rsidRPr="0034068D" w:rsidRDefault="00D432EA" w:rsidP="000A48D0">
      <w:pPr>
        <w:jc w:val="both"/>
        <w:rPr>
          <w:rFonts w:ascii="Arial" w:hAnsi="Arial" w:cs="Arial"/>
          <w:sz w:val="20"/>
          <w:szCs w:val="20"/>
        </w:rPr>
      </w:pPr>
      <w:r>
        <w:rPr>
          <w:rFonts w:ascii="Arial" w:hAnsi="Arial" w:cs="Arial"/>
          <w:sz w:val="20"/>
          <w:szCs w:val="20"/>
        </w:rPr>
        <w:t xml:space="preserve">Dear </w:t>
      </w:r>
      <w:r w:rsidRPr="00D432EA">
        <w:rPr>
          <w:rFonts w:ascii="Arial" w:hAnsi="Arial" w:cs="Arial"/>
          <w:sz w:val="20"/>
          <w:szCs w:val="20"/>
        </w:rPr>
        <w:t>Iishan Low</w:t>
      </w:r>
      <w:r w:rsidR="00E87187" w:rsidRPr="0034068D">
        <w:rPr>
          <w:rFonts w:ascii="Arial" w:hAnsi="Arial" w:cs="Arial"/>
          <w:sz w:val="20"/>
          <w:szCs w:val="20"/>
        </w:rPr>
        <w:t xml:space="preserve">, </w:t>
      </w:r>
    </w:p>
    <w:p w14:paraId="6A5A1556" w14:textId="6460B34F" w:rsidR="00AD0D03" w:rsidRDefault="00AD0D03" w:rsidP="00455840">
      <w:pPr>
        <w:jc w:val="both"/>
        <w:rPr>
          <w:rFonts w:ascii="Arial" w:hAnsi="Arial" w:cs="Arial"/>
          <w:b/>
          <w:bCs/>
          <w:sz w:val="20"/>
          <w:szCs w:val="20"/>
        </w:rPr>
      </w:pPr>
      <w:r w:rsidRPr="00AD0D03">
        <w:rPr>
          <w:rFonts w:ascii="Arial" w:hAnsi="Arial" w:cs="Arial"/>
          <w:b/>
          <w:bCs/>
          <w:sz w:val="20"/>
          <w:szCs w:val="20"/>
        </w:rPr>
        <w:t xml:space="preserve">Consultation on </w:t>
      </w:r>
      <w:r>
        <w:rPr>
          <w:rFonts w:ascii="Arial" w:hAnsi="Arial" w:cs="Arial"/>
          <w:b/>
          <w:bCs/>
          <w:sz w:val="20"/>
          <w:szCs w:val="20"/>
        </w:rPr>
        <w:t>the</w:t>
      </w:r>
      <w:r w:rsidRPr="00AD0D03">
        <w:rPr>
          <w:rFonts w:ascii="Arial" w:hAnsi="Arial" w:cs="Arial"/>
          <w:b/>
          <w:bCs/>
          <w:sz w:val="20"/>
          <w:szCs w:val="20"/>
        </w:rPr>
        <w:t xml:space="preserve"> proposal to take forward the reform of Distribution Use of System charges under a separate Significant Code Review on revised timescales</w:t>
      </w:r>
    </w:p>
    <w:p w14:paraId="5F544948" w14:textId="0E22DBE2" w:rsidR="00496DD0" w:rsidRPr="00D03BAF" w:rsidRDefault="00496DD0" w:rsidP="00455840">
      <w:pPr>
        <w:jc w:val="both"/>
        <w:rPr>
          <w:rFonts w:ascii="Arial" w:hAnsi="Arial" w:cs="Arial"/>
          <w:sz w:val="20"/>
          <w:szCs w:val="20"/>
        </w:rPr>
      </w:pPr>
      <w:r w:rsidRPr="0034068D">
        <w:rPr>
          <w:rFonts w:ascii="Arial" w:hAnsi="Arial" w:cs="Arial"/>
          <w:sz w:val="20"/>
          <w:szCs w:val="20"/>
        </w:rPr>
        <w:t xml:space="preserve">Scottish Renewables is the voice of Scotland’s renewable energy industry. The sectors we represent deliver investment, jobs, social benefits and reduce the carbon emissions which cause climate change. Our members work across all renewable energy technologies, in Scotland, the UK, Europe and around the world. In representing them, we aim to lead and inform the debate on how the growth of renewable energy </w:t>
      </w:r>
      <w:r w:rsidRPr="00D03BAF">
        <w:rPr>
          <w:rFonts w:ascii="Arial" w:hAnsi="Arial" w:cs="Arial"/>
          <w:sz w:val="20"/>
          <w:szCs w:val="20"/>
        </w:rPr>
        <w:t>can help sustainably heat and power Scotland’s homes and businesses.</w:t>
      </w:r>
    </w:p>
    <w:p w14:paraId="3045EBCE" w14:textId="69609EB2" w:rsidR="00D432EA" w:rsidRPr="00D03BAF" w:rsidRDefault="00460116" w:rsidP="00460116">
      <w:pPr>
        <w:jc w:val="both"/>
        <w:rPr>
          <w:rFonts w:ascii="Arial" w:hAnsi="Arial" w:cs="Arial"/>
          <w:sz w:val="20"/>
          <w:szCs w:val="20"/>
        </w:rPr>
      </w:pPr>
      <w:r w:rsidRPr="00D03BAF">
        <w:rPr>
          <w:rFonts w:ascii="Arial" w:hAnsi="Arial" w:cs="Arial"/>
          <w:sz w:val="20"/>
          <w:szCs w:val="20"/>
        </w:rPr>
        <w:t xml:space="preserve">Scottish Renewables welcomes the opportunity to </w:t>
      </w:r>
      <w:r w:rsidR="00D432EA" w:rsidRPr="00D03BAF">
        <w:rPr>
          <w:rFonts w:ascii="Arial" w:hAnsi="Arial" w:cs="Arial"/>
          <w:sz w:val="20"/>
          <w:szCs w:val="20"/>
        </w:rPr>
        <w:t>respond</w:t>
      </w:r>
      <w:r w:rsidRPr="00D03BAF">
        <w:rPr>
          <w:rFonts w:ascii="Arial" w:hAnsi="Arial" w:cs="Arial"/>
          <w:sz w:val="20"/>
          <w:szCs w:val="20"/>
        </w:rPr>
        <w:t xml:space="preserve"> to </w:t>
      </w:r>
      <w:r w:rsidR="00D03BAF" w:rsidRPr="00D03BAF">
        <w:rPr>
          <w:rFonts w:ascii="Arial" w:hAnsi="Arial" w:cs="Arial"/>
          <w:sz w:val="20"/>
          <w:szCs w:val="20"/>
        </w:rPr>
        <w:t xml:space="preserve">this </w:t>
      </w:r>
      <w:r w:rsidRPr="00D03BAF">
        <w:rPr>
          <w:rFonts w:ascii="Arial" w:hAnsi="Arial" w:cs="Arial"/>
          <w:sz w:val="20"/>
          <w:szCs w:val="20"/>
        </w:rPr>
        <w:t xml:space="preserve">Ofgem </w:t>
      </w:r>
      <w:r w:rsidR="00D432EA" w:rsidRPr="00D03BAF">
        <w:rPr>
          <w:rFonts w:ascii="Arial" w:hAnsi="Arial" w:cs="Arial"/>
          <w:sz w:val="20"/>
          <w:szCs w:val="20"/>
        </w:rPr>
        <w:t xml:space="preserve">Consultation </w:t>
      </w:r>
      <w:r w:rsidR="00D03BAF" w:rsidRPr="00D03BAF">
        <w:rPr>
          <w:rFonts w:ascii="Arial" w:hAnsi="Arial" w:cs="Arial"/>
          <w:sz w:val="20"/>
          <w:szCs w:val="20"/>
        </w:rPr>
        <w:t>on</w:t>
      </w:r>
      <w:r w:rsidR="00D432EA" w:rsidRPr="00D03BAF">
        <w:rPr>
          <w:rFonts w:ascii="Arial" w:hAnsi="Arial" w:cs="Arial"/>
          <w:sz w:val="20"/>
          <w:szCs w:val="20"/>
        </w:rPr>
        <w:t xml:space="preserve"> descop</w:t>
      </w:r>
      <w:r w:rsidR="00D03BAF" w:rsidRPr="00D03BAF">
        <w:rPr>
          <w:rFonts w:ascii="Arial" w:hAnsi="Arial" w:cs="Arial"/>
          <w:sz w:val="20"/>
          <w:szCs w:val="20"/>
        </w:rPr>
        <w:t>ing</w:t>
      </w:r>
      <w:r w:rsidR="00D432EA" w:rsidRPr="00D03BAF">
        <w:rPr>
          <w:rFonts w:ascii="Arial" w:hAnsi="Arial" w:cs="Arial"/>
          <w:sz w:val="20"/>
          <w:szCs w:val="20"/>
        </w:rPr>
        <w:t xml:space="preserve"> the wide-ranging review of Distribution Use of System (DUoS) charges from the current Electricity Network Access and </w:t>
      </w:r>
      <w:r w:rsidR="004C1884" w:rsidRPr="00D03BAF">
        <w:rPr>
          <w:rFonts w:ascii="Arial" w:hAnsi="Arial" w:cs="Arial"/>
          <w:sz w:val="20"/>
          <w:szCs w:val="20"/>
        </w:rPr>
        <w:t>Forward-Looking</w:t>
      </w:r>
      <w:r w:rsidR="00D432EA" w:rsidRPr="00D03BAF">
        <w:rPr>
          <w:rFonts w:ascii="Arial" w:hAnsi="Arial" w:cs="Arial"/>
          <w:sz w:val="20"/>
          <w:szCs w:val="20"/>
        </w:rPr>
        <w:t xml:space="preserve"> Charges Significant Code Review (SCR) and take it forward under a dedicated SCR with a revised timescale.</w:t>
      </w:r>
    </w:p>
    <w:p w14:paraId="0A3C8861" w14:textId="7604C6A7" w:rsidR="00460116" w:rsidRPr="00D03BAF" w:rsidRDefault="00460116" w:rsidP="00785A44">
      <w:pPr>
        <w:jc w:val="both"/>
        <w:rPr>
          <w:rFonts w:ascii="Arial" w:hAnsi="Arial" w:cs="Arial"/>
          <w:sz w:val="20"/>
          <w:szCs w:val="20"/>
        </w:rPr>
      </w:pPr>
      <w:r w:rsidRPr="00D03BAF">
        <w:rPr>
          <w:rFonts w:ascii="Arial" w:hAnsi="Arial" w:cs="Arial"/>
          <w:sz w:val="20"/>
          <w:szCs w:val="20"/>
        </w:rPr>
        <w:t>In responding to this consultation, we would like to draw your attention to the following points:</w:t>
      </w:r>
    </w:p>
    <w:p w14:paraId="04EB2F0D" w14:textId="68932049" w:rsidR="00487707" w:rsidRPr="00D03BAF" w:rsidRDefault="004C1884" w:rsidP="00487707">
      <w:pPr>
        <w:pStyle w:val="ListParagraph"/>
        <w:numPr>
          <w:ilvl w:val="0"/>
          <w:numId w:val="47"/>
        </w:numPr>
        <w:spacing w:line="276" w:lineRule="auto"/>
        <w:jc w:val="both"/>
        <w:rPr>
          <w:rFonts w:cs="Arial"/>
          <w:sz w:val="20"/>
          <w:szCs w:val="20"/>
        </w:rPr>
      </w:pPr>
      <w:r w:rsidRPr="00D03BAF">
        <w:rPr>
          <w:rFonts w:cs="Arial"/>
          <w:sz w:val="20"/>
          <w:szCs w:val="20"/>
        </w:rPr>
        <w:t xml:space="preserve">Scottish Renewables agrees with separating </w:t>
      </w:r>
      <w:r w:rsidR="00604909" w:rsidRPr="00D03BAF">
        <w:rPr>
          <w:rFonts w:cs="Arial"/>
          <w:sz w:val="20"/>
          <w:szCs w:val="20"/>
        </w:rPr>
        <w:t xml:space="preserve">the </w:t>
      </w:r>
      <w:r w:rsidR="00785A44" w:rsidRPr="00D03BAF">
        <w:rPr>
          <w:rFonts w:cs="Arial"/>
          <w:sz w:val="20"/>
          <w:szCs w:val="20"/>
          <w:lang w:val="en-US"/>
        </w:rPr>
        <w:t>wide-ranging</w:t>
      </w:r>
      <w:r w:rsidR="00604909" w:rsidRPr="00D03BAF">
        <w:rPr>
          <w:rFonts w:cs="Arial"/>
          <w:sz w:val="20"/>
          <w:szCs w:val="20"/>
          <w:lang w:val="en-US"/>
        </w:rPr>
        <w:t xml:space="preserve"> review of DUoS </w:t>
      </w:r>
      <w:r w:rsidRPr="00D03BAF">
        <w:rPr>
          <w:rFonts w:cs="Arial"/>
          <w:sz w:val="20"/>
          <w:szCs w:val="20"/>
        </w:rPr>
        <w:t>from the Access SCR and taking it forward under a dedicated SCR</w:t>
      </w:r>
      <w:r w:rsidR="00FC1F8F" w:rsidRPr="00D03BAF">
        <w:rPr>
          <w:rFonts w:cs="Arial"/>
          <w:sz w:val="20"/>
          <w:szCs w:val="20"/>
        </w:rPr>
        <w:t>.</w:t>
      </w:r>
    </w:p>
    <w:p w14:paraId="6F4A7825" w14:textId="77777777" w:rsidR="00487707" w:rsidRPr="00D03BAF" w:rsidRDefault="00487707" w:rsidP="00487707">
      <w:pPr>
        <w:pStyle w:val="ListParagraph"/>
        <w:spacing w:line="276" w:lineRule="auto"/>
        <w:jc w:val="both"/>
        <w:rPr>
          <w:rFonts w:cs="Arial"/>
          <w:sz w:val="20"/>
          <w:szCs w:val="20"/>
        </w:rPr>
      </w:pPr>
    </w:p>
    <w:p w14:paraId="4D78C0B1" w14:textId="77777777" w:rsidR="00487707" w:rsidRPr="00D03BAF" w:rsidRDefault="00487707" w:rsidP="00487707">
      <w:pPr>
        <w:pStyle w:val="ListParagraph"/>
        <w:numPr>
          <w:ilvl w:val="0"/>
          <w:numId w:val="47"/>
        </w:numPr>
        <w:spacing w:line="276" w:lineRule="auto"/>
        <w:jc w:val="both"/>
        <w:rPr>
          <w:rFonts w:cs="Arial"/>
          <w:sz w:val="20"/>
          <w:szCs w:val="20"/>
        </w:rPr>
      </w:pPr>
      <w:r w:rsidRPr="00D03BAF">
        <w:rPr>
          <w:rFonts w:cs="Arial"/>
          <w:sz w:val="20"/>
          <w:szCs w:val="20"/>
        </w:rPr>
        <w:t>DUoS reform needs to be aligned with government policy priorities to achieve net-zero. This must include the need to facilitate the allocation of increased levels of flexibility and low carbon technologies to decarbonise the power sector by 2035.</w:t>
      </w:r>
    </w:p>
    <w:p w14:paraId="11081725" w14:textId="77777777" w:rsidR="00487707" w:rsidRPr="00D03BAF" w:rsidRDefault="00487707" w:rsidP="00487707">
      <w:pPr>
        <w:pStyle w:val="ListParagraph"/>
        <w:spacing w:line="276" w:lineRule="auto"/>
        <w:jc w:val="both"/>
        <w:rPr>
          <w:rFonts w:cs="Arial"/>
          <w:sz w:val="20"/>
          <w:szCs w:val="20"/>
        </w:rPr>
      </w:pPr>
    </w:p>
    <w:p w14:paraId="75BD2A19" w14:textId="3AB50993" w:rsidR="004C1884" w:rsidRPr="00D03BAF" w:rsidRDefault="004C1884" w:rsidP="00785A44">
      <w:pPr>
        <w:pStyle w:val="ListParagraph"/>
        <w:numPr>
          <w:ilvl w:val="0"/>
          <w:numId w:val="47"/>
        </w:numPr>
        <w:spacing w:line="276" w:lineRule="auto"/>
        <w:jc w:val="both"/>
        <w:rPr>
          <w:rFonts w:cs="Arial"/>
          <w:sz w:val="20"/>
          <w:szCs w:val="20"/>
        </w:rPr>
      </w:pPr>
      <w:r w:rsidRPr="00D03BAF">
        <w:rPr>
          <w:rFonts w:cs="Arial"/>
          <w:sz w:val="20"/>
          <w:szCs w:val="20"/>
        </w:rPr>
        <w:t xml:space="preserve">A sensible and optimistic timeline to </w:t>
      </w:r>
      <w:r w:rsidR="00487707" w:rsidRPr="00D03BAF">
        <w:rPr>
          <w:rFonts w:cs="Arial"/>
          <w:sz w:val="20"/>
          <w:szCs w:val="20"/>
        </w:rPr>
        <w:t>implement</w:t>
      </w:r>
      <w:r w:rsidRPr="00D03BAF">
        <w:rPr>
          <w:rFonts w:cs="Arial"/>
          <w:sz w:val="20"/>
          <w:szCs w:val="20"/>
        </w:rPr>
        <w:t xml:space="preserve"> a reform such as this </w:t>
      </w:r>
      <w:r w:rsidR="00487707" w:rsidRPr="00D03BAF">
        <w:rPr>
          <w:rFonts w:cs="Arial"/>
          <w:sz w:val="20"/>
          <w:szCs w:val="20"/>
        </w:rPr>
        <w:t>could</w:t>
      </w:r>
      <w:r w:rsidRPr="00D03BAF">
        <w:rPr>
          <w:rFonts w:cs="Arial"/>
          <w:sz w:val="20"/>
          <w:szCs w:val="20"/>
        </w:rPr>
        <w:t xml:space="preserve"> be 2025</w:t>
      </w:r>
      <w:r w:rsidR="00487707" w:rsidRPr="00D03BAF">
        <w:rPr>
          <w:rFonts w:cs="Arial"/>
          <w:sz w:val="20"/>
          <w:szCs w:val="20"/>
        </w:rPr>
        <w:t>,</w:t>
      </w:r>
      <w:r w:rsidR="00FC1F8F" w:rsidRPr="00D03BAF">
        <w:rPr>
          <w:rFonts w:cs="Arial"/>
          <w:sz w:val="20"/>
          <w:szCs w:val="20"/>
        </w:rPr>
        <w:t xml:space="preserve"> as Ofgem </w:t>
      </w:r>
      <w:r w:rsidR="002927A8" w:rsidRPr="00D03BAF">
        <w:rPr>
          <w:rFonts w:cs="Arial"/>
          <w:sz w:val="20"/>
          <w:szCs w:val="20"/>
        </w:rPr>
        <w:t>suggest</w:t>
      </w:r>
      <w:r w:rsidRPr="00D03BAF">
        <w:rPr>
          <w:rFonts w:cs="Arial"/>
          <w:sz w:val="20"/>
          <w:szCs w:val="20"/>
        </w:rPr>
        <w:t>. However, we would welcome that Ofgem provide</w:t>
      </w:r>
      <w:r w:rsidR="002927A8" w:rsidRPr="00D03BAF">
        <w:rPr>
          <w:rFonts w:cs="Arial"/>
          <w:sz w:val="20"/>
          <w:szCs w:val="20"/>
        </w:rPr>
        <w:t>s</w:t>
      </w:r>
      <w:r w:rsidRPr="00D03BAF">
        <w:rPr>
          <w:rFonts w:cs="Arial"/>
          <w:sz w:val="20"/>
          <w:szCs w:val="20"/>
        </w:rPr>
        <w:t xml:space="preserve"> a roadmap</w:t>
      </w:r>
      <w:r w:rsidR="00FC1F8F" w:rsidRPr="00D03BAF">
        <w:rPr>
          <w:rFonts w:cs="Arial"/>
          <w:sz w:val="20"/>
          <w:szCs w:val="20"/>
        </w:rPr>
        <w:t xml:space="preserve"> showing dates and</w:t>
      </w:r>
      <w:r w:rsidRPr="00D03BAF">
        <w:rPr>
          <w:rFonts w:cs="Arial"/>
          <w:sz w:val="20"/>
          <w:szCs w:val="20"/>
        </w:rPr>
        <w:t xml:space="preserve"> </w:t>
      </w:r>
      <w:r w:rsidR="00FC1F8F" w:rsidRPr="00D03BAF">
        <w:rPr>
          <w:rFonts w:cs="Arial"/>
          <w:sz w:val="20"/>
          <w:szCs w:val="20"/>
        </w:rPr>
        <w:t xml:space="preserve">the interaction of this reform </w:t>
      </w:r>
      <w:r w:rsidR="00604909" w:rsidRPr="00D03BAF">
        <w:rPr>
          <w:rFonts w:cs="Arial"/>
          <w:sz w:val="20"/>
          <w:szCs w:val="20"/>
        </w:rPr>
        <w:t>with</w:t>
      </w:r>
      <w:r w:rsidR="00FC1F8F" w:rsidRPr="00D03BAF">
        <w:rPr>
          <w:rFonts w:cs="Arial"/>
          <w:sz w:val="20"/>
          <w:szCs w:val="20"/>
        </w:rPr>
        <w:t xml:space="preserve"> other policy priorities from government. This would help the industry to understand the achievable date of this reform.</w:t>
      </w:r>
    </w:p>
    <w:p w14:paraId="0A51F2E3" w14:textId="77777777" w:rsidR="00370C46" w:rsidRPr="00D03BAF" w:rsidRDefault="00370C46" w:rsidP="00785A44">
      <w:pPr>
        <w:pStyle w:val="ListParagraph"/>
        <w:spacing w:line="276" w:lineRule="auto"/>
        <w:rPr>
          <w:rFonts w:cs="Arial"/>
          <w:sz w:val="20"/>
          <w:szCs w:val="20"/>
        </w:rPr>
      </w:pPr>
    </w:p>
    <w:p w14:paraId="5329EC10" w14:textId="614F501F" w:rsidR="00370C46" w:rsidRPr="00D03BAF" w:rsidRDefault="00370C46" w:rsidP="00785A44">
      <w:pPr>
        <w:pStyle w:val="ListParagraph"/>
        <w:numPr>
          <w:ilvl w:val="0"/>
          <w:numId w:val="47"/>
        </w:numPr>
        <w:spacing w:line="276" w:lineRule="auto"/>
        <w:jc w:val="both"/>
        <w:rPr>
          <w:rFonts w:cs="Arial"/>
          <w:sz w:val="20"/>
          <w:szCs w:val="20"/>
        </w:rPr>
      </w:pPr>
      <w:r w:rsidRPr="00D03BAF">
        <w:rPr>
          <w:rFonts w:cs="Arial"/>
          <w:sz w:val="20"/>
          <w:szCs w:val="20"/>
        </w:rPr>
        <w:t xml:space="preserve">Policy </w:t>
      </w:r>
      <w:r w:rsidR="00322789" w:rsidRPr="00D03BAF">
        <w:rPr>
          <w:rFonts w:cs="Arial"/>
          <w:sz w:val="20"/>
          <w:szCs w:val="20"/>
        </w:rPr>
        <w:t>proposals</w:t>
      </w:r>
      <w:r w:rsidRPr="00D03BAF">
        <w:rPr>
          <w:rFonts w:cs="Arial"/>
          <w:sz w:val="20"/>
          <w:szCs w:val="20"/>
        </w:rPr>
        <w:t xml:space="preserve"> from the recent Access SCR linked with DUoS reform must be review</w:t>
      </w:r>
      <w:r w:rsidR="00487707" w:rsidRPr="00D03BAF">
        <w:rPr>
          <w:rFonts w:cs="Arial"/>
          <w:sz w:val="20"/>
          <w:szCs w:val="20"/>
        </w:rPr>
        <w:t>ed</w:t>
      </w:r>
      <w:r w:rsidRPr="00D03BAF">
        <w:rPr>
          <w:rFonts w:cs="Arial"/>
          <w:sz w:val="20"/>
          <w:szCs w:val="20"/>
        </w:rPr>
        <w:t xml:space="preserve"> carefully </w:t>
      </w:r>
      <w:r w:rsidR="00322789" w:rsidRPr="00D03BAF">
        <w:rPr>
          <w:rFonts w:cs="Arial"/>
          <w:sz w:val="20"/>
          <w:szCs w:val="20"/>
        </w:rPr>
        <w:t xml:space="preserve">in order </w:t>
      </w:r>
      <w:r w:rsidRPr="00D03BAF">
        <w:rPr>
          <w:rFonts w:cs="Arial"/>
          <w:sz w:val="20"/>
          <w:szCs w:val="20"/>
        </w:rPr>
        <w:t xml:space="preserve">to </w:t>
      </w:r>
      <w:r w:rsidR="00D03BAF" w:rsidRPr="00D03BAF">
        <w:rPr>
          <w:rFonts w:cs="Arial"/>
          <w:sz w:val="20"/>
          <w:szCs w:val="20"/>
        </w:rPr>
        <w:t>avoid</w:t>
      </w:r>
      <w:r w:rsidRPr="00D03BAF">
        <w:rPr>
          <w:rFonts w:cs="Arial"/>
          <w:sz w:val="20"/>
          <w:szCs w:val="20"/>
        </w:rPr>
        <w:t xml:space="preserve"> </w:t>
      </w:r>
      <w:r w:rsidR="0069371F" w:rsidRPr="00D03BAF">
        <w:rPr>
          <w:rFonts w:cs="Arial"/>
          <w:sz w:val="20"/>
          <w:szCs w:val="20"/>
        </w:rPr>
        <w:t>slow</w:t>
      </w:r>
      <w:r w:rsidR="00D03BAF" w:rsidRPr="00D03BAF">
        <w:rPr>
          <w:rFonts w:cs="Arial"/>
          <w:sz w:val="20"/>
          <w:szCs w:val="20"/>
        </w:rPr>
        <w:t>ing</w:t>
      </w:r>
      <w:r w:rsidR="0069371F" w:rsidRPr="00D03BAF">
        <w:rPr>
          <w:rFonts w:cs="Arial"/>
          <w:sz w:val="20"/>
          <w:szCs w:val="20"/>
        </w:rPr>
        <w:t xml:space="preserve"> down</w:t>
      </w:r>
      <w:r w:rsidRPr="00D03BAF">
        <w:rPr>
          <w:rFonts w:cs="Arial"/>
          <w:sz w:val="20"/>
          <w:szCs w:val="20"/>
        </w:rPr>
        <w:t xml:space="preserve"> the roll</w:t>
      </w:r>
      <w:r w:rsidR="00487707" w:rsidRPr="00D03BAF">
        <w:rPr>
          <w:rFonts w:cs="Arial"/>
          <w:sz w:val="20"/>
          <w:szCs w:val="20"/>
        </w:rPr>
        <w:t>-</w:t>
      </w:r>
      <w:r w:rsidRPr="00D03BAF">
        <w:rPr>
          <w:rFonts w:cs="Arial"/>
          <w:sz w:val="20"/>
          <w:szCs w:val="20"/>
        </w:rPr>
        <w:t>out of low carbon and flexible technologies</w:t>
      </w:r>
      <w:r w:rsidR="0069371F" w:rsidRPr="00D03BAF">
        <w:rPr>
          <w:rFonts w:cs="Arial"/>
          <w:sz w:val="20"/>
          <w:szCs w:val="20"/>
        </w:rPr>
        <w:t>.</w:t>
      </w:r>
    </w:p>
    <w:p w14:paraId="50F468A9" w14:textId="77777777" w:rsidR="00586A5D" w:rsidRPr="00D03BAF" w:rsidRDefault="00586A5D" w:rsidP="00785A44">
      <w:pPr>
        <w:pStyle w:val="ListParagraph"/>
        <w:spacing w:line="276" w:lineRule="auto"/>
        <w:rPr>
          <w:rFonts w:cs="Arial"/>
          <w:sz w:val="20"/>
          <w:szCs w:val="20"/>
        </w:rPr>
      </w:pPr>
    </w:p>
    <w:p w14:paraId="2450F5DA" w14:textId="31E8C419" w:rsidR="00586A5D" w:rsidRPr="00D03BAF" w:rsidRDefault="00586A5D" w:rsidP="00785A44">
      <w:pPr>
        <w:pStyle w:val="ListParagraph"/>
        <w:numPr>
          <w:ilvl w:val="0"/>
          <w:numId w:val="47"/>
        </w:numPr>
        <w:spacing w:line="276" w:lineRule="auto"/>
        <w:jc w:val="both"/>
        <w:rPr>
          <w:rFonts w:cs="Arial"/>
          <w:sz w:val="20"/>
          <w:szCs w:val="20"/>
        </w:rPr>
      </w:pPr>
      <w:r w:rsidRPr="00D03BAF">
        <w:rPr>
          <w:rFonts w:cs="Arial"/>
          <w:sz w:val="20"/>
          <w:szCs w:val="20"/>
        </w:rPr>
        <w:t>We think that this new phase</w:t>
      </w:r>
      <w:r w:rsidR="00356725" w:rsidRPr="00D03BAF">
        <w:rPr>
          <w:rFonts w:cs="Arial"/>
          <w:sz w:val="20"/>
          <w:szCs w:val="20"/>
        </w:rPr>
        <w:t>d</w:t>
      </w:r>
      <w:r w:rsidRPr="00D03BAF">
        <w:rPr>
          <w:rFonts w:cs="Arial"/>
          <w:sz w:val="20"/>
          <w:szCs w:val="20"/>
        </w:rPr>
        <w:t xml:space="preserve"> approach provides </w:t>
      </w:r>
      <w:r w:rsidR="00CC2306" w:rsidRPr="00D03BAF">
        <w:rPr>
          <w:rFonts w:cs="Arial"/>
          <w:sz w:val="20"/>
          <w:szCs w:val="20"/>
        </w:rPr>
        <w:t xml:space="preserve">Ofgem </w:t>
      </w:r>
      <w:r w:rsidRPr="00D03BAF">
        <w:rPr>
          <w:rFonts w:cs="Arial"/>
          <w:sz w:val="20"/>
          <w:szCs w:val="20"/>
        </w:rPr>
        <w:t>the opportunity for reviewing the quantitative analysis that assess</w:t>
      </w:r>
      <w:r w:rsidR="00D03BAF" w:rsidRPr="00D03BAF">
        <w:rPr>
          <w:rFonts w:cs="Arial"/>
          <w:sz w:val="20"/>
          <w:szCs w:val="20"/>
        </w:rPr>
        <w:t>es</w:t>
      </w:r>
      <w:r w:rsidRPr="00D03BAF">
        <w:rPr>
          <w:rFonts w:cs="Arial"/>
          <w:sz w:val="20"/>
          <w:szCs w:val="20"/>
        </w:rPr>
        <w:t xml:space="preserve"> the option of applying TNUoS charges to </w:t>
      </w:r>
      <w:r w:rsidR="00785A44" w:rsidRPr="00D03BAF">
        <w:rPr>
          <w:rFonts w:cs="Arial"/>
          <w:sz w:val="20"/>
          <w:szCs w:val="20"/>
        </w:rPr>
        <w:t>Small Distributor Generators (</w:t>
      </w:r>
      <w:r w:rsidRPr="00D03BAF">
        <w:rPr>
          <w:rFonts w:cs="Arial"/>
          <w:sz w:val="20"/>
          <w:szCs w:val="20"/>
        </w:rPr>
        <w:t>SDG</w:t>
      </w:r>
      <w:r w:rsidR="00785A44" w:rsidRPr="00D03BAF">
        <w:rPr>
          <w:rFonts w:cs="Arial"/>
          <w:sz w:val="20"/>
          <w:szCs w:val="20"/>
        </w:rPr>
        <w:t>)</w:t>
      </w:r>
      <w:r w:rsidRPr="00D03BAF">
        <w:rPr>
          <w:rFonts w:cs="Arial"/>
          <w:sz w:val="20"/>
          <w:szCs w:val="20"/>
        </w:rPr>
        <w:t xml:space="preserve"> in the recent A</w:t>
      </w:r>
      <w:r w:rsidR="00CC2306" w:rsidRPr="00D03BAF">
        <w:rPr>
          <w:rFonts w:cs="Arial"/>
          <w:sz w:val="20"/>
          <w:szCs w:val="20"/>
        </w:rPr>
        <w:t>c</w:t>
      </w:r>
      <w:r w:rsidRPr="00D03BAF">
        <w:rPr>
          <w:rFonts w:cs="Arial"/>
          <w:sz w:val="20"/>
          <w:szCs w:val="20"/>
        </w:rPr>
        <w:t>cess</w:t>
      </w:r>
      <w:r w:rsidR="00CC2306" w:rsidRPr="00D03BAF">
        <w:rPr>
          <w:rFonts w:cs="Arial"/>
          <w:sz w:val="20"/>
          <w:szCs w:val="20"/>
        </w:rPr>
        <w:t xml:space="preserve"> SCR</w:t>
      </w:r>
      <w:r w:rsidR="001C75C9" w:rsidRPr="00D03BAF">
        <w:rPr>
          <w:rFonts w:cs="Arial"/>
          <w:sz w:val="20"/>
          <w:szCs w:val="20"/>
        </w:rPr>
        <w:t xml:space="preserve"> (subject to outcomes of the recent TNUoS call for evidence)</w:t>
      </w:r>
      <w:r w:rsidR="00CC2306" w:rsidRPr="00D03BAF">
        <w:rPr>
          <w:rFonts w:cs="Arial"/>
          <w:sz w:val="20"/>
          <w:szCs w:val="20"/>
        </w:rPr>
        <w:t>. We pointed out in our Access SCR consultation response that the quantitative analysis had significant flaws that may change the overall net benefit proposed.</w:t>
      </w:r>
    </w:p>
    <w:p w14:paraId="337D5C43" w14:textId="77777777" w:rsidR="001C75C9" w:rsidRPr="00D03BAF" w:rsidRDefault="001C75C9" w:rsidP="00785A44">
      <w:pPr>
        <w:pStyle w:val="ListParagraph"/>
        <w:spacing w:line="276" w:lineRule="auto"/>
        <w:rPr>
          <w:rFonts w:cs="Arial"/>
          <w:sz w:val="20"/>
          <w:szCs w:val="20"/>
        </w:rPr>
      </w:pPr>
    </w:p>
    <w:p w14:paraId="5082582B" w14:textId="5AEEF469" w:rsidR="001C75C9" w:rsidRPr="00D03BAF" w:rsidRDefault="001C75C9" w:rsidP="00785A44">
      <w:pPr>
        <w:pStyle w:val="ListParagraph"/>
        <w:numPr>
          <w:ilvl w:val="0"/>
          <w:numId w:val="47"/>
        </w:numPr>
        <w:spacing w:line="276" w:lineRule="auto"/>
        <w:jc w:val="both"/>
        <w:rPr>
          <w:rFonts w:cs="Arial"/>
          <w:sz w:val="20"/>
          <w:szCs w:val="20"/>
        </w:rPr>
      </w:pPr>
      <w:r w:rsidRPr="00D03BAF">
        <w:rPr>
          <w:rFonts w:cs="Arial"/>
          <w:sz w:val="20"/>
          <w:szCs w:val="20"/>
        </w:rPr>
        <w:t xml:space="preserve">We agree with retaining the scope and governance arrangement of the original SCR in the new DUoS SCR. We would also like to see that Ofgem ensures that any outcomes from the SCR are aligned with the strategic priorities from Government.  </w:t>
      </w:r>
    </w:p>
    <w:p w14:paraId="6E21C556" w14:textId="77777777" w:rsidR="002D29F7" w:rsidRDefault="002D29F7" w:rsidP="009D2996">
      <w:pPr>
        <w:jc w:val="both"/>
        <w:rPr>
          <w:rFonts w:ascii="Arial" w:hAnsi="Arial" w:cs="Arial"/>
          <w:sz w:val="20"/>
          <w:szCs w:val="20"/>
        </w:rPr>
      </w:pPr>
    </w:p>
    <w:p w14:paraId="285522D4" w14:textId="77777777" w:rsidR="002D29F7" w:rsidRDefault="002D29F7" w:rsidP="009D2996">
      <w:pPr>
        <w:jc w:val="both"/>
        <w:rPr>
          <w:rFonts w:ascii="Arial" w:hAnsi="Arial" w:cs="Arial"/>
          <w:sz w:val="20"/>
          <w:szCs w:val="20"/>
        </w:rPr>
      </w:pPr>
    </w:p>
    <w:p w14:paraId="6BB510A6" w14:textId="209C5427" w:rsidR="003C1FC0" w:rsidRPr="0034068D" w:rsidRDefault="003C1FC0" w:rsidP="009D2996">
      <w:pPr>
        <w:jc w:val="both"/>
        <w:rPr>
          <w:rFonts w:ascii="Arial" w:hAnsi="Arial" w:cs="Arial"/>
          <w:sz w:val="20"/>
          <w:szCs w:val="20"/>
        </w:rPr>
      </w:pPr>
      <w:r w:rsidRPr="0034068D">
        <w:rPr>
          <w:rFonts w:ascii="Arial" w:hAnsi="Arial" w:cs="Arial"/>
          <w:sz w:val="20"/>
          <w:szCs w:val="20"/>
        </w:rPr>
        <w:lastRenderedPageBreak/>
        <w:t xml:space="preserve">Scottish Renewables would be keen to engage further with this agenda and would be happy to </w:t>
      </w:r>
      <w:r w:rsidR="00332CE2" w:rsidRPr="0034068D">
        <w:rPr>
          <w:rFonts w:ascii="Arial" w:hAnsi="Arial" w:cs="Arial"/>
          <w:sz w:val="20"/>
          <w:szCs w:val="20"/>
        </w:rPr>
        <w:t>discuss our response in more detail.</w:t>
      </w:r>
    </w:p>
    <w:p w14:paraId="1DD9694E" w14:textId="77777777" w:rsidR="00DB3717" w:rsidRPr="0034068D" w:rsidRDefault="00DB3717" w:rsidP="000A48D0">
      <w:pPr>
        <w:shd w:val="clear" w:color="auto" w:fill="FFFFFF"/>
        <w:spacing w:after="165"/>
        <w:jc w:val="both"/>
        <w:rPr>
          <w:rFonts w:ascii="Arial" w:hAnsi="Arial" w:cs="Arial"/>
          <w:sz w:val="20"/>
          <w:szCs w:val="20"/>
        </w:rPr>
      </w:pPr>
    </w:p>
    <w:p w14:paraId="062BD25A" w14:textId="6B37D8CC" w:rsidR="00997EDA" w:rsidRPr="0034068D" w:rsidRDefault="007E60E8" w:rsidP="000A48D0">
      <w:pPr>
        <w:shd w:val="clear" w:color="auto" w:fill="FFFFFF"/>
        <w:spacing w:after="165"/>
        <w:jc w:val="both"/>
        <w:rPr>
          <w:rFonts w:ascii="Arial" w:hAnsi="Arial" w:cs="Arial"/>
          <w:sz w:val="20"/>
          <w:szCs w:val="20"/>
        </w:rPr>
      </w:pPr>
      <w:r w:rsidRPr="0034068D">
        <w:rPr>
          <w:rFonts w:ascii="Arial" w:hAnsi="Arial" w:cs="Arial"/>
          <w:sz w:val="20"/>
          <w:szCs w:val="20"/>
        </w:rPr>
        <w:t xml:space="preserve">Yours sincerely, </w:t>
      </w:r>
    </w:p>
    <w:p w14:paraId="5884EF56" w14:textId="77777777" w:rsidR="00DB3717" w:rsidRPr="0034068D" w:rsidRDefault="00DB3717" w:rsidP="000A48D0">
      <w:pPr>
        <w:shd w:val="clear" w:color="auto" w:fill="FFFFFF"/>
        <w:spacing w:after="165"/>
        <w:jc w:val="both"/>
        <w:rPr>
          <w:rFonts w:ascii="Arial" w:hAnsi="Arial" w:cs="Arial"/>
          <w:sz w:val="20"/>
          <w:szCs w:val="20"/>
        </w:rPr>
      </w:pPr>
    </w:p>
    <w:p w14:paraId="1692DC2F" w14:textId="7D06A35B" w:rsidR="00F30DB2" w:rsidRPr="0034068D" w:rsidRDefault="00434EDB" w:rsidP="000A48D0">
      <w:pPr>
        <w:shd w:val="clear" w:color="auto" w:fill="FFFFFF"/>
        <w:spacing w:after="165"/>
        <w:jc w:val="both"/>
        <w:rPr>
          <w:rFonts w:ascii="Arial" w:hAnsi="Arial" w:cs="Arial"/>
          <w:noProof/>
          <w:sz w:val="20"/>
          <w:szCs w:val="20"/>
        </w:rPr>
      </w:pPr>
      <w:r w:rsidRPr="0034068D">
        <w:rPr>
          <w:rFonts w:ascii="Arial" w:hAnsi="Arial" w:cs="Arial"/>
          <w:noProof/>
          <w:sz w:val="20"/>
          <w:szCs w:val="20"/>
        </w:rPr>
        <w:drawing>
          <wp:inline distT="0" distB="0" distL="0" distR="0" wp14:anchorId="02B5D77E" wp14:editId="75F16DCF">
            <wp:extent cx="2067127" cy="676073"/>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2">
                      <a:extLst>
                        <a:ext uri="{28A0092B-C50C-407E-A947-70E740481C1C}">
                          <a14:useLocalDpi xmlns:a14="http://schemas.microsoft.com/office/drawing/2010/main" val="0"/>
                        </a:ext>
                      </a:extLst>
                    </a:blip>
                    <a:srcRect r="9350" b="18101"/>
                    <a:stretch/>
                  </pic:blipFill>
                  <pic:spPr bwMode="auto">
                    <a:xfrm>
                      <a:off x="0" y="0"/>
                      <a:ext cx="2074855" cy="678600"/>
                    </a:xfrm>
                    <a:prstGeom prst="rect">
                      <a:avLst/>
                    </a:prstGeom>
                    <a:ln>
                      <a:noFill/>
                    </a:ln>
                    <a:extLst>
                      <a:ext uri="{53640926-AAD7-44D8-BBD7-CCE9431645EC}">
                        <a14:shadowObscured xmlns:a14="http://schemas.microsoft.com/office/drawing/2010/main"/>
                      </a:ext>
                    </a:extLst>
                  </pic:spPr>
                </pic:pic>
              </a:graphicData>
            </a:graphic>
          </wp:inline>
        </w:drawing>
      </w:r>
    </w:p>
    <w:p w14:paraId="684B8879" w14:textId="11BFF3CE" w:rsidR="00997EDA" w:rsidRPr="0034068D" w:rsidRDefault="00711DEA" w:rsidP="00460116">
      <w:pPr>
        <w:shd w:val="clear" w:color="auto" w:fill="FFFFFF"/>
        <w:spacing w:after="0"/>
        <w:jc w:val="both"/>
        <w:rPr>
          <w:rFonts w:ascii="Arial" w:hAnsi="Arial" w:cs="Arial"/>
          <w:sz w:val="20"/>
          <w:szCs w:val="20"/>
        </w:rPr>
      </w:pPr>
      <w:r w:rsidRPr="0034068D">
        <w:rPr>
          <w:rFonts w:ascii="Arial" w:hAnsi="Arial" w:cs="Arial"/>
          <w:sz w:val="20"/>
          <w:szCs w:val="20"/>
        </w:rPr>
        <w:t>Angeles Sandoval</w:t>
      </w:r>
    </w:p>
    <w:p w14:paraId="3851E671" w14:textId="6FE37B73" w:rsidR="007E60E8" w:rsidRPr="0034068D" w:rsidRDefault="00B6783E" w:rsidP="00460116">
      <w:pPr>
        <w:spacing w:after="0"/>
        <w:jc w:val="both"/>
        <w:rPr>
          <w:rFonts w:ascii="Arial" w:hAnsi="Arial" w:cs="Arial"/>
          <w:b/>
          <w:sz w:val="20"/>
          <w:szCs w:val="20"/>
        </w:rPr>
      </w:pPr>
      <w:r w:rsidRPr="0034068D">
        <w:rPr>
          <w:rFonts w:ascii="Arial" w:hAnsi="Arial" w:cs="Arial"/>
          <w:b/>
          <w:sz w:val="20"/>
          <w:szCs w:val="20"/>
        </w:rPr>
        <w:t>Policy Manager</w:t>
      </w:r>
      <w:r w:rsidR="00906D40" w:rsidRPr="0034068D">
        <w:rPr>
          <w:rFonts w:ascii="Arial" w:hAnsi="Arial" w:cs="Arial"/>
          <w:b/>
          <w:sz w:val="20"/>
          <w:szCs w:val="20"/>
        </w:rPr>
        <w:t xml:space="preserve"> | Networks &amp; Markets</w:t>
      </w:r>
    </w:p>
    <w:p w14:paraId="574F1C96" w14:textId="47559976" w:rsidR="009D2996" w:rsidRPr="0034068D" w:rsidRDefault="007E60E8" w:rsidP="0054676B">
      <w:pPr>
        <w:jc w:val="both"/>
        <w:rPr>
          <w:rFonts w:ascii="Arial" w:hAnsi="Arial" w:cs="Arial"/>
          <w:sz w:val="20"/>
          <w:szCs w:val="20"/>
        </w:rPr>
      </w:pPr>
      <w:r w:rsidRPr="0034068D">
        <w:rPr>
          <w:rFonts w:ascii="Arial" w:hAnsi="Arial" w:cs="Arial"/>
          <w:sz w:val="20"/>
          <w:szCs w:val="20"/>
        </w:rPr>
        <w:t xml:space="preserve">Scottish Renewables </w:t>
      </w:r>
    </w:p>
    <w:p w14:paraId="077ACC2F" w14:textId="21DC0269" w:rsidR="000352FE" w:rsidRPr="0034068D" w:rsidRDefault="00DB3717" w:rsidP="000352FE">
      <w:pPr>
        <w:pStyle w:val="ListParagraph"/>
        <w:numPr>
          <w:ilvl w:val="0"/>
          <w:numId w:val="48"/>
        </w:numPr>
        <w:jc w:val="both"/>
        <w:rPr>
          <w:rFonts w:cs="Arial"/>
          <w:b/>
          <w:bCs/>
          <w:sz w:val="20"/>
          <w:szCs w:val="20"/>
        </w:rPr>
      </w:pPr>
      <w:r w:rsidRPr="0034068D">
        <w:rPr>
          <w:rFonts w:cs="Arial"/>
          <w:b/>
          <w:bCs/>
          <w:sz w:val="20"/>
          <w:szCs w:val="20"/>
        </w:rPr>
        <w:br w:type="page"/>
      </w:r>
      <w:r w:rsidR="000352FE" w:rsidRPr="0034068D">
        <w:rPr>
          <w:rFonts w:cs="Arial"/>
          <w:b/>
          <w:bCs/>
          <w:sz w:val="20"/>
          <w:szCs w:val="20"/>
        </w:rPr>
        <w:lastRenderedPageBreak/>
        <w:t>Do you agree with our proposal to descope DUoS from the Access SCR and take it forward under a dedicated SCR with revised timescales?</w:t>
      </w:r>
    </w:p>
    <w:p w14:paraId="07DFDC3D" w14:textId="413B6DAD" w:rsidR="00DD7D88" w:rsidRPr="0034068D" w:rsidRDefault="005451C1" w:rsidP="00DD7D88">
      <w:pPr>
        <w:jc w:val="both"/>
        <w:rPr>
          <w:rFonts w:ascii="Arial" w:hAnsi="Arial" w:cs="Arial"/>
          <w:sz w:val="20"/>
          <w:szCs w:val="20"/>
        </w:rPr>
      </w:pPr>
      <w:r w:rsidRPr="0034068D">
        <w:rPr>
          <w:rFonts w:ascii="Arial" w:hAnsi="Arial" w:cs="Arial"/>
          <w:sz w:val="20"/>
          <w:szCs w:val="20"/>
        </w:rPr>
        <w:t xml:space="preserve">Yes, </w:t>
      </w:r>
      <w:r w:rsidR="00C455C5" w:rsidRPr="0034068D">
        <w:rPr>
          <w:rFonts w:ascii="Arial" w:hAnsi="Arial" w:cs="Arial"/>
          <w:sz w:val="20"/>
          <w:szCs w:val="20"/>
        </w:rPr>
        <w:t xml:space="preserve">it </w:t>
      </w:r>
      <w:r w:rsidR="006E339B" w:rsidRPr="0034068D">
        <w:rPr>
          <w:rFonts w:ascii="Arial" w:hAnsi="Arial" w:cs="Arial"/>
          <w:sz w:val="20"/>
          <w:szCs w:val="20"/>
        </w:rPr>
        <w:t>is Scottish Renewables view</w:t>
      </w:r>
      <w:r w:rsidRPr="0034068D">
        <w:rPr>
          <w:rFonts w:ascii="Arial" w:hAnsi="Arial" w:cs="Arial"/>
          <w:sz w:val="20"/>
          <w:szCs w:val="20"/>
        </w:rPr>
        <w:t xml:space="preserve"> </w:t>
      </w:r>
      <w:r w:rsidR="00164034" w:rsidRPr="0034068D">
        <w:rPr>
          <w:rFonts w:ascii="Arial" w:hAnsi="Arial" w:cs="Arial"/>
          <w:sz w:val="20"/>
          <w:szCs w:val="20"/>
        </w:rPr>
        <w:t>that separat</w:t>
      </w:r>
      <w:r w:rsidR="006E339B" w:rsidRPr="0034068D">
        <w:rPr>
          <w:rFonts w:ascii="Arial" w:hAnsi="Arial" w:cs="Arial"/>
          <w:sz w:val="20"/>
          <w:szCs w:val="20"/>
        </w:rPr>
        <w:t>ing</w:t>
      </w:r>
      <w:r w:rsidR="00164034" w:rsidRPr="0034068D">
        <w:rPr>
          <w:rFonts w:ascii="Arial" w:hAnsi="Arial" w:cs="Arial"/>
          <w:sz w:val="20"/>
          <w:szCs w:val="20"/>
        </w:rPr>
        <w:t xml:space="preserve"> DUoS from the Access SCR</w:t>
      </w:r>
      <w:r w:rsidRPr="0034068D">
        <w:rPr>
          <w:rFonts w:ascii="Arial" w:hAnsi="Arial" w:cs="Arial"/>
          <w:sz w:val="20"/>
          <w:szCs w:val="20"/>
        </w:rPr>
        <w:t xml:space="preserve"> </w:t>
      </w:r>
      <w:r w:rsidR="00164034" w:rsidRPr="0034068D">
        <w:rPr>
          <w:rFonts w:ascii="Arial" w:hAnsi="Arial" w:cs="Arial"/>
          <w:sz w:val="20"/>
          <w:szCs w:val="20"/>
        </w:rPr>
        <w:t>and tak</w:t>
      </w:r>
      <w:r w:rsidR="00C455C5" w:rsidRPr="0034068D">
        <w:rPr>
          <w:rFonts w:ascii="Arial" w:hAnsi="Arial" w:cs="Arial"/>
          <w:sz w:val="20"/>
          <w:szCs w:val="20"/>
        </w:rPr>
        <w:t>ing</w:t>
      </w:r>
      <w:r w:rsidR="00164034" w:rsidRPr="0034068D">
        <w:rPr>
          <w:rFonts w:ascii="Arial" w:hAnsi="Arial" w:cs="Arial"/>
          <w:sz w:val="20"/>
          <w:szCs w:val="20"/>
        </w:rPr>
        <w:t xml:space="preserve"> it forward under a dedicated SCR is a sensible approach. </w:t>
      </w:r>
      <w:r w:rsidR="00DD7D88" w:rsidRPr="0034068D">
        <w:rPr>
          <w:rFonts w:ascii="Arial" w:hAnsi="Arial" w:cs="Arial"/>
          <w:sz w:val="20"/>
          <w:szCs w:val="20"/>
        </w:rPr>
        <w:t xml:space="preserve">This proposal will allow Ofgem to make a decision on connection boundary, and </w:t>
      </w:r>
      <w:r w:rsidR="00C455C5" w:rsidRPr="0034068D">
        <w:rPr>
          <w:rFonts w:ascii="Arial" w:hAnsi="Arial" w:cs="Arial"/>
          <w:sz w:val="20"/>
          <w:szCs w:val="20"/>
        </w:rPr>
        <w:t xml:space="preserve">take </w:t>
      </w:r>
      <w:r w:rsidR="00DD7D88" w:rsidRPr="0034068D">
        <w:rPr>
          <w:rFonts w:ascii="Arial" w:hAnsi="Arial" w:cs="Arial"/>
          <w:sz w:val="20"/>
          <w:szCs w:val="20"/>
        </w:rPr>
        <w:t>a clear decision about what will happen with TNUoS charges for</w:t>
      </w:r>
      <w:r w:rsidR="00785A44">
        <w:rPr>
          <w:rFonts w:ascii="Arial" w:hAnsi="Arial" w:cs="Arial"/>
          <w:sz w:val="20"/>
          <w:szCs w:val="20"/>
        </w:rPr>
        <w:t xml:space="preserve"> </w:t>
      </w:r>
      <w:r w:rsidR="00DD7D88" w:rsidRPr="0034068D">
        <w:rPr>
          <w:rFonts w:ascii="Arial" w:hAnsi="Arial" w:cs="Arial"/>
          <w:sz w:val="20"/>
          <w:szCs w:val="20"/>
        </w:rPr>
        <w:t>SDG, which has been paused ahead of TNUoS review.</w:t>
      </w:r>
    </w:p>
    <w:p w14:paraId="53AC0951" w14:textId="14827DC0" w:rsidR="00DA0751" w:rsidRPr="0034068D" w:rsidRDefault="004448EE" w:rsidP="00DD7D88">
      <w:pPr>
        <w:jc w:val="both"/>
        <w:rPr>
          <w:rFonts w:ascii="Arial" w:hAnsi="Arial" w:cs="Arial"/>
          <w:sz w:val="20"/>
          <w:szCs w:val="20"/>
        </w:rPr>
      </w:pPr>
      <w:r w:rsidRPr="0034068D">
        <w:rPr>
          <w:rFonts w:ascii="Arial" w:hAnsi="Arial" w:cs="Arial"/>
          <w:sz w:val="20"/>
          <w:szCs w:val="20"/>
        </w:rPr>
        <w:t xml:space="preserve">However, we would like to note that it would be important to learn the lessons </w:t>
      </w:r>
      <w:r w:rsidR="00C455C5" w:rsidRPr="0034068D">
        <w:rPr>
          <w:rFonts w:ascii="Arial" w:hAnsi="Arial" w:cs="Arial"/>
          <w:sz w:val="20"/>
          <w:szCs w:val="20"/>
        </w:rPr>
        <w:t>of</w:t>
      </w:r>
      <w:r w:rsidRPr="0034068D">
        <w:rPr>
          <w:rFonts w:ascii="Arial" w:hAnsi="Arial" w:cs="Arial"/>
          <w:sz w:val="20"/>
          <w:szCs w:val="20"/>
        </w:rPr>
        <w:t xml:space="preserve"> how the recent Access SCR has been developed to avoid further delays. The recent Access SCR </w:t>
      </w:r>
      <w:r w:rsidR="00C5730B" w:rsidRPr="0034068D">
        <w:rPr>
          <w:rFonts w:ascii="Arial" w:hAnsi="Arial" w:cs="Arial"/>
          <w:sz w:val="20"/>
          <w:szCs w:val="20"/>
        </w:rPr>
        <w:t>included policy decisions about DUoS, connection boundary, access rights and TNUoS charges for SDG</w:t>
      </w:r>
      <w:r w:rsidR="008E2F75" w:rsidRPr="0034068D">
        <w:rPr>
          <w:rFonts w:ascii="Arial" w:hAnsi="Arial" w:cs="Arial"/>
          <w:sz w:val="20"/>
          <w:szCs w:val="20"/>
        </w:rPr>
        <w:t xml:space="preserve"> </w:t>
      </w:r>
      <w:r w:rsidR="00C5730B" w:rsidRPr="0034068D">
        <w:rPr>
          <w:rFonts w:ascii="Arial" w:hAnsi="Arial" w:cs="Arial"/>
          <w:sz w:val="20"/>
          <w:szCs w:val="20"/>
        </w:rPr>
        <w:t xml:space="preserve">because policy outcomes from </w:t>
      </w:r>
      <w:r w:rsidR="004F58E2" w:rsidRPr="0034068D">
        <w:rPr>
          <w:rFonts w:ascii="Arial" w:hAnsi="Arial" w:cs="Arial"/>
          <w:sz w:val="20"/>
          <w:szCs w:val="20"/>
        </w:rPr>
        <w:t>all of</w:t>
      </w:r>
      <w:r w:rsidR="008E2F75" w:rsidRPr="0034068D">
        <w:rPr>
          <w:rFonts w:ascii="Arial" w:hAnsi="Arial" w:cs="Arial"/>
          <w:sz w:val="20"/>
          <w:szCs w:val="20"/>
        </w:rPr>
        <w:t xml:space="preserve"> </w:t>
      </w:r>
      <w:r w:rsidR="00C5730B" w:rsidRPr="0034068D">
        <w:rPr>
          <w:rFonts w:ascii="Arial" w:hAnsi="Arial" w:cs="Arial"/>
          <w:sz w:val="20"/>
          <w:szCs w:val="20"/>
        </w:rPr>
        <w:t xml:space="preserve">them are linked. Descoping DUoS from the Access SCR will now mean that </w:t>
      </w:r>
      <w:r w:rsidR="008E2F75" w:rsidRPr="0034068D">
        <w:rPr>
          <w:rFonts w:ascii="Arial" w:hAnsi="Arial" w:cs="Arial"/>
          <w:sz w:val="20"/>
          <w:szCs w:val="20"/>
        </w:rPr>
        <w:t xml:space="preserve">it is likely that </w:t>
      </w:r>
      <w:r w:rsidR="00F93CAB" w:rsidRPr="0034068D">
        <w:rPr>
          <w:rFonts w:ascii="Arial" w:hAnsi="Arial" w:cs="Arial"/>
          <w:sz w:val="20"/>
          <w:szCs w:val="20"/>
        </w:rPr>
        <w:t>the implementation of some proposal</w:t>
      </w:r>
      <w:r w:rsidR="00C455C5" w:rsidRPr="0034068D">
        <w:rPr>
          <w:rFonts w:ascii="Arial" w:hAnsi="Arial" w:cs="Arial"/>
          <w:sz w:val="20"/>
          <w:szCs w:val="20"/>
        </w:rPr>
        <w:t>s</w:t>
      </w:r>
      <w:r w:rsidR="00F93CAB" w:rsidRPr="0034068D">
        <w:rPr>
          <w:rFonts w:ascii="Arial" w:hAnsi="Arial" w:cs="Arial"/>
          <w:sz w:val="20"/>
          <w:szCs w:val="20"/>
        </w:rPr>
        <w:t xml:space="preserve"> from the recent </w:t>
      </w:r>
      <w:r w:rsidR="008E2F75" w:rsidRPr="0034068D">
        <w:rPr>
          <w:rFonts w:ascii="Arial" w:hAnsi="Arial" w:cs="Arial"/>
          <w:sz w:val="20"/>
          <w:szCs w:val="20"/>
        </w:rPr>
        <w:t>A</w:t>
      </w:r>
      <w:r w:rsidR="00F93CAB" w:rsidRPr="0034068D">
        <w:rPr>
          <w:rFonts w:ascii="Arial" w:hAnsi="Arial" w:cs="Arial"/>
          <w:sz w:val="20"/>
          <w:szCs w:val="20"/>
        </w:rPr>
        <w:t xml:space="preserve">ccess SCR must be implemented post 2023, which is not ideal. </w:t>
      </w:r>
      <w:r w:rsidR="00153400" w:rsidRPr="0034068D">
        <w:rPr>
          <w:rFonts w:ascii="Arial" w:hAnsi="Arial" w:cs="Arial"/>
          <w:sz w:val="20"/>
          <w:szCs w:val="20"/>
        </w:rPr>
        <w:t>Therefore, w</w:t>
      </w:r>
      <w:r w:rsidR="00F93CAB" w:rsidRPr="0034068D">
        <w:rPr>
          <w:rFonts w:ascii="Arial" w:hAnsi="Arial" w:cs="Arial"/>
          <w:sz w:val="20"/>
          <w:szCs w:val="20"/>
        </w:rPr>
        <w:t xml:space="preserve">e would like </w:t>
      </w:r>
      <w:r w:rsidR="00153400" w:rsidRPr="0034068D">
        <w:rPr>
          <w:rFonts w:ascii="Arial" w:hAnsi="Arial" w:cs="Arial"/>
          <w:sz w:val="20"/>
          <w:szCs w:val="20"/>
        </w:rPr>
        <w:t>to see</w:t>
      </w:r>
      <w:r w:rsidR="00F93CAB" w:rsidRPr="0034068D">
        <w:rPr>
          <w:rFonts w:ascii="Arial" w:hAnsi="Arial" w:cs="Arial"/>
          <w:sz w:val="20"/>
          <w:szCs w:val="20"/>
        </w:rPr>
        <w:t xml:space="preserve"> Ofgem </w:t>
      </w:r>
      <w:r w:rsidR="00153400" w:rsidRPr="0034068D">
        <w:rPr>
          <w:rFonts w:ascii="Arial" w:hAnsi="Arial" w:cs="Arial"/>
          <w:sz w:val="20"/>
          <w:szCs w:val="20"/>
        </w:rPr>
        <w:t xml:space="preserve">developing </w:t>
      </w:r>
      <w:r w:rsidR="003734AC">
        <w:rPr>
          <w:rFonts w:ascii="Arial" w:hAnsi="Arial" w:cs="Arial"/>
          <w:sz w:val="20"/>
          <w:szCs w:val="20"/>
        </w:rPr>
        <w:t xml:space="preserve">an agile approach to </w:t>
      </w:r>
      <w:r w:rsidR="00153400" w:rsidRPr="0034068D">
        <w:rPr>
          <w:rFonts w:ascii="Arial" w:hAnsi="Arial" w:cs="Arial"/>
          <w:sz w:val="20"/>
          <w:szCs w:val="20"/>
        </w:rPr>
        <w:t>this process</w:t>
      </w:r>
      <w:r w:rsidR="006E339B" w:rsidRPr="0034068D">
        <w:rPr>
          <w:rFonts w:ascii="Arial" w:hAnsi="Arial" w:cs="Arial"/>
          <w:sz w:val="20"/>
          <w:szCs w:val="20"/>
        </w:rPr>
        <w:t xml:space="preserve">, taking into account the lessons </w:t>
      </w:r>
      <w:r w:rsidR="00436A68" w:rsidRPr="0034068D">
        <w:rPr>
          <w:rFonts w:ascii="Arial" w:hAnsi="Arial" w:cs="Arial"/>
          <w:sz w:val="20"/>
          <w:szCs w:val="20"/>
        </w:rPr>
        <w:t>from</w:t>
      </w:r>
      <w:r w:rsidR="006E339B" w:rsidRPr="0034068D">
        <w:rPr>
          <w:rFonts w:ascii="Arial" w:hAnsi="Arial" w:cs="Arial"/>
          <w:sz w:val="20"/>
          <w:szCs w:val="20"/>
        </w:rPr>
        <w:t xml:space="preserve"> the past,</w:t>
      </w:r>
      <w:r w:rsidR="00153400" w:rsidRPr="0034068D">
        <w:rPr>
          <w:rFonts w:ascii="Arial" w:hAnsi="Arial" w:cs="Arial"/>
          <w:sz w:val="20"/>
          <w:szCs w:val="20"/>
        </w:rPr>
        <w:t xml:space="preserve"> in a way that do</w:t>
      </w:r>
      <w:r w:rsidR="00C455C5" w:rsidRPr="0034068D">
        <w:rPr>
          <w:rFonts w:ascii="Arial" w:hAnsi="Arial" w:cs="Arial"/>
          <w:sz w:val="20"/>
          <w:szCs w:val="20"/>
        </w:rPr>
        <w:t>es</w:t>
      </w:r>
      <w:r w:rsidR="00153400" w:rsidRPr="0034068D">
        <w:rPr>
          <w:rFonts w:ascii="Arial" w:hAnsi="Arial" w:cs="Arial"/>
          <w:sz w:val="20"/>
          <w:szCs w:val="20"/>
        </w:rPr>
        <w:t xml:space="preserve"> not delay further policy decisions that are important for the industry.</w:t>
      </w:r>
    </w:p>
    <w:p w14:paraId="031C4C7D" w14:textId="5C8AAE4D" w:rsidR="00164034" w:rsidRPr="0034068D" w:rsidRDefault="006E339B" w:rsidP="000352FE">
      <w:pPr>
        <w:jc w:val="both"/>
        <w:rPr>
          <w:rFonts w:ascii="Arial" w:hAnsi="Arial" w:cs="Arial"/>
          <w:sz w:val="20"/>
          <w:szCs w:val="20"/>
        </w:rPr>
      </w:pPr>
      <w:r w:rsidRPr="002C1FA7">
        <w:rPr>
          <w:rFonts w:ascii="Arial" w:hAnsi="Arial" w:cs="Arial"/>
          <w:sz w:val="20"/>
          <w:szCs w:val="20"/>
        </w:rPr>
        <w:t xml:space="preserve">Finally, Ofgem </w:t>
      </w:r>
      <w:r w:rsidR="005002B3">
        <w:rPr>
          <w:rFonts w:ascii="Arial" w:hAnsi="Arial" w:cs="Arial"/>
          <w:sz w:val="20"/>
          <w:szCs w:val="20"/>
        </w:rPr>
        <w:t xml:space="preserve">stated </w:t>
      </w:r>
      <w:r w:rsidRPr="002C1FA7">
        <w:rPr>
          <w:rFonts w:ascii="Arial" w:hAnsi="Arial" w:cs="Arial"/>
          <w:sz w:val="20"/>
          <w:szCs w:val="20"/>
        </w:rPr>
        <w:t xml:space="preserve">that </w:t>
      </w:r>
      <w:r w:rsidR="006E14D7" w:rsidRPr="002C1FA7">
        <w:rPr>
          <w:rFonts w:ascii="Arial" w:hAnsi="Arial" w:cs="Arial"/>
          <w:sz w:val="20"/>
          <w:szCs w:val="20"/>
        </w:rPr>
        <w:t xml:space="preserve">they do not want to further delay the review of DUoS and wish to start re-engaging with stakeholders – including Challenge and Delivery Groups – via the new DUoS SCR. </w:t>
      </w:r>
      <w:r w:rsidR="00C455C5" w:rsidRPr="002C1FA7">
        <w:rPr>
          <w:rFonts w:ascii="Arial" w:hAnsi="Arial" w:cs="Arial"/>
          <w:sz w:val="20"/>
          <w:szCs w:val="20"/>
        </w:rPr>
        <w:t>O</w:t>
      </w:r>
      <w:r w:rsidR="006E14D7" w:rsidRPr="002C1FA7">
        <w:rPr>
          <w:rFonts w:ascii="Arial" w:hAnsi="Arial" w:cs="Arial"/>
          <w:sz w:val="20"/>
          <w:szCs w:val="20"/>
        </w:rPr>
        <w:t xml:space="preserve">n this point, we would like to </w:t>
      </w:r>
      <w:r w:rsidR="0068283B" w:rsidRPr="002C1FA7">
        <w:rPr>
          <w:rFonts w:ascii="Arial" w:hAnsi="Arial" w:cs="Arial"/>
          <w:sz w:val="20"/>
          <w:szCs w:val="20"/>
        </w:rPr>
        <w:t xml:space="preserve">highlight that </w:t>
      </w:r>
      <w:r w:rsidR="0087233B" w:rsidRPr="002C1FA7">
        <w:rPr>
          <w:rFonts w:ascii="Arial" w:hAnsi="Arial" w:cs="Arial"/>
          <w:sz w:val="20"/>
          <w:szCs w:val="20"/>
        </w:rPr>
        <w:t xml:space="preserve">our industry feels that </w:t>
      </w:r>
      <w:r w:rsidR="0068283B" w:rsidRPr="002C1FA7">
        <w:rPr>
          <w:rFonts w:ascii="Arial" w:hAnsi="Arial" w:cs="Arial"/>
          <w:sz w:val="20"/>
          <w:szCs w:val="20"/>
        </w:rPr>
        <w:t xml:space="preserve">this kind of engagement has been ineffective </w:t>
      </w:r>
      <w:r w:rsidR="0087233B" w:rsidRPr="002C1FA7">
        <w:rPr>
          <w:rFonts w:ascii="Arial" w:hAnsi="Arial" w:cs="Arial"/>
          <w:sz w:val="20"/>
          <w:szCs w:val="20"/>
        </w:rPr>
        <w:t xml:space="preserve">in the past, </w:t>
      </w:r>
      <w:r w:rsidR="0068283B" w:rsidRPr="00D432EA">
        <w:rPr>
          <w:rFonts w:ascii="Arial" w:hAnsi="Arial" w:cs="Arial"/>
          <w:sz w:val="20"/>
          <w:szCs w:val="20"/>
        </w:rPr>
        <w:t xml:space="preserve">with little </w:t>
      </w:r>
      <w:r w:rsidR="008362E3">
        <w:rPr>
          <w:rFonts w:ascii="Arial" w:hAnsi="Arial" w:cs="Arial"/>
          <w:sz w:val="20"/>
          <w:szCs w:val="20"/>
        </w:rPr>
        <w:t>opportunity</w:t>
      </w:r>
      <w:r w:rsidR="008362E3" w:rsidRPr="00D432EA">
        <w:rPr>
          <w:rFonts w:ascii="Arial" w:hAnsi="Arial" w:cs="Arial"/>
          <w:sz w:val="20"/>
          <w:szCs w:val="20"/>
        </w:rPr>
        <w:t xml:space="preserve"> </w:t>
      </w:r>
      <w:r w:rsidR="0068283B" w:rsidRPr="00D432EA">
        <w:rPr>
          <w:rFonts w:ascii="Arial" w:hAnsi="Arial" w:cs="Arial"/>
          <w:sz w:val="20"/>
          <w:szCs w:val="20"/>
        </w:rPr>
        <w:t xml:space="preserve">for stakeholders to challenge Ofgem and </w:t>
      </w:r>
      <w:r w:rsidR="008362E3">
        <w:rPr>
          <w:rFonts w:ascii="Arial" w:hAnsi="Arial" w:cs="Arial"/>
          <w:sz w:val="20"/>
          <w:szCs w:val="20"/>
        </w:rPr>
        <w:t xml:space="preserve">have </w:t>
      </w:r>
      <w:r w:rsidR="0068283B" w:rsidRPr="00D432EA">
        <w:rPr>
          <w:rFonts w:ascii="Arial" w:hAnsi="Arial" w:cs="Arial"/>
          <w:sz w:val="20"/>
          <w:szCs w:val="20"/>
        </w:rPr>
        <w:t>open discuss</w:t>
      </w:r>
      <w:r w:rsidR="008362E3">
        <w:rPr>
          <w:rFonts w:ascii="Arial" w:hAnsi="Arial" w:cs="Arial"/>
          <w:sz w:val="20"/>
          <w:szCs w:val="20"/>
        </w:rPr>
        <w:t>ion</w:t>
      </w:r>
      <w:r w:rsidR="0068283B" w:rsidRPr="002C1FA7">
        <w:rPr>
          <w:rFonts w:ascii="Arial" w:hAnsi="Arial" w:cs="Arial"/>
          <w:sz w:val="20"/>
          <w:szCs w:val="20"/>
        </w:rPr>
        <w:t xml:space="preserve">. We would like </w:t>
      </w:r>
      <w:r w:rsidR="0087233B" w:rsidRPr="00D432EA">
        <w:rPr>
          <w:rFonts w:ascii="Arial" w:hAnsi="Arial" w:cs="Arial"/>
          <w:sz w:val="20"/>
          <w:szCs w:val="20"/>
        </w:rPr>
        <w:t xml:space="preserve">Ofgem </w:t>
      </w:r>
      <w:r w:rsidR="008362E3">
        <w:rPr>
          <w:rFonts w:ascii="Arial" w:hAnsi="Arial" w:cs="Arial"/>
          <w:sz w:val="20"/>
          <w:szCs w:val="20"/>
        </w:rPr>
        <w:t xml:space="preserve">to ensure </w:t>
      </w:r>
      <w:r w:rsidRPr="00D432EA">
        <w:rPr>
          <w:rFonts w:ascii="Arial" w:hAnsi="Arial" w:cs="Arial"/>
          <w:sz w:val="20"/>
          <w:szCs w:val="20"/>
        </w:rPr>
        <w:t>stakeholder</w:t>
      </w:r>
      <w:r w:rsidR="009A3419" w:rsidRPr="00D432EA">
        <w:rPr>
          <w:rFonts w:ascii="Arial" w:hAnsi="Arial" w:cs="Arial"/>
          <w:sz w:val="20"/>
          <w:szCs w:val="20"/>
        </w:rPr>
        <w:t xml:space="preserve">s </w:t>
      </w:r>
      <w:r w:rsidR="0087233B" w:rsidRPr="00D432EA">
        <w:rPr>
          <w:rFonts w:ascii="Arial" w:hAnsi="Arial" w:cs="Arial"/>
          <w:sz w:val="20"/>
          <w:szCs w:val="20"/>
        </w:rPr>
        <w:t xml:space="preserve">including </w:t>
      </w:r>
      <w:r w:rsidR="009A3419" w:rsidRPr="00D432EA">
        <w:rPr>
          <w:rFonts w:ascii="Arial" w:hAnsi="Arial" w:cs="Arial"/>
          <w:sz w:val="20"/>
          <w:szCs w:val="20"/>
        </w:rPr>
        <w:t xml:space="preserve">Challenge and Delivery Groups </w:t>
      </w:r>
      <w:r w:rsidR="008362E3">
        <w:rPr>
          <w:rFonts w:ascii="Arial" w:hAnsi="Arial" w:cs="Arial"/>
          <w:sz w:val="20"/>
          <w:szCs w:val="20"/>
        </w:rPr>
        <w:t>can</w:t>
      </w:r>
      <w:r w:rsidR="0087233B" w:rsidRPr="00D432EA">
        <w:rPr>
          <w:rFonts w:ascii="Arial" w:hAnsi="Arial" w:cs="Arial"/>
          <w:sz w:val="20"/>
          <w:szCs w:val="20"/>
        </w:rPr>
        <w:t xml:space="preserve"> </w:t>
      </w:r>
      <w:r w:rsidRPr="00D432EA">
        <w:rPr>
          <w:rFonts w:ascii="Arial" w:hAnsi="Arial" w:cs="Arial"/>
          <w:sz w:val="20"/>
          <w:szCs w:val="20"/>
        </w:rPr>
        <w:t>openly discus</w:t>
      </w:r>
      <w:r w:rsidR="002C1FA7" w:rsidRPr="00D432EA">
        <w:rPr>
          <w:rFonts w:ascii="Arial" w:hAnsi="Arial" w:cs="Arial"/>
          <w:sz w:val="20"/>
          <w:szCs w:val="20"/>
        </w:rPr>
        <w:t>s and provide feedback on any change proposed of this reform.</w:t>
      </w:r>
    </w:p>
    <w:p w14:paraId="5E8AB53D" w14:textId="3C562990" w:rsidR="000352FE" w:rsidRPr="0034068D" w:rsidRDefault="000352FE" w:rsidP="000352FE">
      <w:pPr>
        <w:pStyle w:val="ListParagraph"/>
        <w:numPr>
          <w:ilvl w:val="0"/>
          <w:numId w:val="48"/>
        </w:numPr>
        <w:jc w:val="both"/>
        <w:rPr>
          <w:rFonts w:cs="Arial"/>
          <w:b/>
          <w:bCs/>
          <w:sz w:val="20"/>
          <w:szCs w:val="20"/>
        </w:rPr>
      </w:pPr>
      <w:r w:rsidRPr="0034068D">
        <w:rPr>
          <w:rFonts w:cs="Arial"/>
          <w:b/>
          <w:bCs/>
          <w:sz w:val="20"/>
          <w:szCs w:val="20"/>
        </w:rPr>
        <w:t>What are your views on timescales for implementation of DUoS reform? How does this interact with wider market developments and what do we need to take into account?</w:t>
      </w:r>
    </w:p>
    <w:p w14:paraId="4465C388" w14:textId="331DAE06" w:rsidR="000352FE" w:rsidRPr="0034068D" w:rsidRDefault="001D2516" w:rsidP="00333A14">
      <w:pPr>
        <w:jc w:val="both"/>
        <w:rPr>
          <w:rFonts w:ascii="Arial" w:hAnsi="Arial" w:cs="Arial"/>
          <w:sz w:val="20"/>
          <w:szCs w:val="20"/>
        </w:rPr>
      </w:pPr>
      <w:r w:rsidRPr="0034068D">
        <w:rPr>
          <w:rFonts w:ascii="Arial" w:hAnsi="Arial" w:cs="Arial"/>
          <w:sz w:val="20"/>
          <w:szCs w:val="20"/>
        </w:rPr>
        <w:t xml:space="preserve">Ofgem suggest that the earliest implementation date for DUoS reform is 2025. This seems a sensible </w:t>
      </w:r>
      <w:r w:rsidR="0034068D" w:rsidRPr="0034068D">
        <w:rPr>
          <w:rFonts w:ascii="Arial" w:hAnsi="Arial" w:cs="Arial"/>
          <w:sz w:val="20"/>
          <w:szCs w:val="20"/>
        </w:rPr>
        <w:t>timescale</w:t>
      </w:r>
      <w:r w:rsidRPr="0034068D">
        <w:rPr>
          <w:rFonts w:ascii="Arial" w:hAnsi="Arial" w:cs="Arial"/>
          <w:sz w:val="20"/>
          <w:szCs w:val="20"/>
        </w:rPr>
        <w:t xml:space="preserve"> considering </w:t>
      </w:r>
      <w:r w:rsidR="00F44E9D" w:rsidRPr="0034068D">
        <w:rPr>
          <w:rFonts w:ascii="Arial" w:hAnsi="Arial" w:cs="Arial"/>
          <w:sz w:val="20"/>
          <w:szCs w:val="20"/>
        </w:rPr>
        <w:t>that DUoS need</w:t>
      </w:r>
      <w:r w:rsidR="008362E3">
        <w:rPr>
          <w:rFonts w:ascii="Arial" w:hAnsi="Arial" w:cs="Arial"/>
          <w:sz w:val="20"/>
          <w:szCs w:val="20"/>
        </w:rPr>
        <w:t>s</w:t>
      </w:r>
      <w:r w:rsidR="00F44E9D" w:rsidRPr="0034068D">
        <w:rPr>
          <w:rFonts w:ascii="Arial" w:hAnsi="Arial" w:cs="Arial"/>
          <w:sz w:val="20"/>
          <w:szCs w:val="20"/>
        </w:rPr>
        <w:t xml:space="preserve"> to be aligned </w:t>
      </w:r>
      <w:r w:rsidR="009A33F1" w:rsidRPr="0034068D">
        <w:rPr>
          <w:rFonts w:ascii="Arial" w:hAnsi="Arial" w:cs="Arial"/>
          <w:sz w:val="20"/>
          <w:szCs w:val="20"/>
        </w:rPr>
        <w:t>with other</w:t>
      </w:r>
      <w:r w:rsidR="00245043" w:rsidRPr="0034068D">
        <w:rPr>
          <w:rFonts w:ascii="Arial" w:hAnsi="Arial" w:cs="Arial"/>
          <w:sz w:val="20"/>
          <w:szCs w:val="20"/>
        </w:rPr>
        <w:t xml:space="preserve"> policy </w:t>
      </w:r>
      <w:r w:rsidR="009A33F1" w:rsidRPr="0034068D">
        <w:rPr>
          <w:rFonts w:ascii="Arial" w:hAnsi="Arial" w:cs="Arial"/>
          <w:sz w:val="20"/>
          <w:szCs w:val="20"/>
        </w:rPr>
        <w:t>priorities such as the flexibility strategy, transport and heat decarbonisation, and wider market reform.</w:t>
      </w:r>
      <w:r w:rsidR="000355E2" w:rsidRPr="0034068D">
        <w:rPr>
          <w:rFonts w:ascii="Arial" w:hAnsi="Arial" w:cs="Arial"/>
          <w:sz w:val="20"/>
          <w:szCs w:val="20"/>
        </w:rPr>
        <w:t xml:space="preserve"> However, w</w:t>
      </w:r>
      <w:r w:rsidR="009A33F1" w:rsidRPr="0034068D">
        <w:rPr>
          <w:rFonts w:ascii="Arial" w:hAnsi="Arial" w:cs="Arial"/>
          <w:sz w:val="20"/>
          <w:szCs w:val="20"/>
        </w:rPr>
        <w:t>e would like to note that the industry need</w:t>
      </w:r>
      <w:r w:rsidR="00425D67" w:rsidRPr="0034068D">
        <w:rPr>
          <w:rFonts w:ascii="Arial" w:hAnsi="Arial" w:cs="Arial"/>
          <w:sz w:val="20"/>
          <w:szCs w:val="20"/>
        </w:rPr>
        <w:t>s</w:t>
      </w:r>
      <w:r w:rsidR="009A33F1" w:rsidRPr="0034068D">
        <w:rPr>
          <w:rFonts w:ascii="Arial" w:hAnsi="Arial" w:cs="Arial"/>
          <w:sz w:val="20"/>
          <w:szCs w:val="20"/>
        </w:rPr>
        <w:t xml:space="preserve"> a proper roadmap to understand the achievable timeline for DUoS reform. Therefore, it would be helpful if Ofgem </w:t>
      </w:r>
      <w:r w:rsidR="00B4601C" w:rsidRPr="0034068D">
        <w:rPr>
          <w:rFonts w:ascii="Arial" w:hAnsi="Arial" w:cs="Arial"/>
          <w:sz w:val="20"/>
          <w:szCs w:val="20"/>
        </w:rPr>
        <w:t>sets out a clear roadmap with the achievable date of this reform including the interaction with other policy priorities from government.</w:t>
      </w:r>
    </w:p>
    <w:p w14:paraId="7AF281AD" w14:textId="77777777" w:rsidR="000352FE" w:rsidRPr="0034068D" w:rsidRDefault="000352FE" w:rsidP="000352FE">
      <w:pPr>
        <w:pStyle w:val="ListParagraph"/>
        <w:jc w:val="both"/>
        <w:rPr>
          <w:rFonts w:cs="Arial"/>
          <w:b/>
          <w:bCs/>
          <w:sz w:val="20"/>
          <w:szCs w:val="20"/>
        </w:rPr>
      </w:pPr>
    </w:p>
    <w:p w14:paraId="686319D4" w14:textId="6D4D4AE8" w:rsidR="000352FE" w:rsidRPr="0034068D" w:rsidRDefault="000352FE" w:rsidP="000352FE">
      <w:pPr>
        <w:pStyle w:val="ListParagraph"/>
        <w:numPr>
          <w:ilvl w:val="0"/>
          <w:numId w:val="48"/>
        </w:numPr>
        <w:jc w:val="both"/>
        <w:rPr>
          <w:rFonts w:cs="Arial"/>
          <w:b/>
          <w:bCs/>
          <w:sz w:val="20"/>
          <w:szCs w:val="20"/>
        </w:rPr>
      </w:pPr>
      <w:r w:rsidRPr="0034068D">
        <w:rPr>
          <w:rFonts w:cs="Arial"/>
          <w:b/>
          <w:bCs/>
          <w:sz w:val="20"/>
          <w:szCs w:val="20"/>
        </w:rPr>
        <w:t>What areas of interactions of DUoS with wider developments in policy/industry do we need to consider in our review?</w:t>
      </w:r>
    </w:p>
    <w:p w14:paraId="6A9B8D46" w14:textId="7B4A5D15" w:rsidR="00B4601C" w:rsidRPr="0034068D" w:rsidRDefault="00B4601C" w:rsidP="00333A14">
      <w:pPr>
        <w:jc w:val="both"/>
        <w:rPr>
          <w:rFonts w:ascii="Arial" w:hAnsi="Arial" w:cs="Arial"/>
          <w:sz w:val="20"/>
          <w:szCs w:val="20"/>
        </w:rPr>
      </w:pPr>
      <w:r w:rsidRPr="0034068D">
        <w:rPr>
          <w:rFonts w:ascii="Arial" w:hAnsi="Arial" w:cs="Arial"/>
          <w:sz w:val="20"/>
          <w:szCs w:val="20"/>
        </w:rPr>
        <w:t xml:space="preserve">DUoS reform needs to be aligned </w:t>
      </w:r>
      <w:r w:rsidR="009578B1">
        <w:rPr>
          <w:rFonts w:ascii="Arial" w:hAnsi="Arial" w:cs="Arial"/>
          <w:sz w:val="20"/>
          <w:szCs w:val="20"/>
        </w:rPr>
        <w:t>with</w:t>
      </w:r>
      <w:r w:rsidR="0034068D">
        <w:rPr>
          <w:rFonts w:ascii="Arial" w:hAnsi="Arial" w:cs="Arial"/>
          <w:sz w:val="20"/>
          <w:szCs w:val="20"/>
        </w:rPr>
        <w:t xml:space="preserve"> </w:t>
      </w:r>
      <w:r w:rsidRPr="0034068D">
        <w:rPr>
          <w:rFonts w:ascii="Arial" w:hAnsi="Arial" w:cs="Arial"/>
          <w:sz w:val="20"/>
          <w:szCs w:val="20"/>
        </w:rPr>
        <w:t xml:space="preserve">government policy priorities to achieve </w:t>
      </w:r>
      <w:r w:rsidR="00603DE1" w:rsidRPr="0034068D">
        <w:rPr>
          <w:rFonts w:ascii="Arial" w:hAnsi="Arial" w:cs="Arial"/>
          <w:sz w:val="20"/>
          <w:szCs w:val="20"/>
        </w:rPr>
        <w:t>net-zero</w:t>
      </w:r>
      <w:r w:rsidRPr="0034068D">
        <w:rPr>
          <w:rFonts w:ascii="Arial" w:hAnsi="Arial" w:cs="Arial"/>
          <w:sz w:val="20"/>
          <w:szCs w:val="20"/>
        </w:rPr>
        <w:t xml:space="preserve">. In the recent Net Zero Strategy, The </w:t>
      </w:r>
      <w:r w:rsidR="005E77EC" w:rsidRPr="0034068D">
        <w:rPr>
          <w:rFonts w:ascii="Arial" w:hAnsi="Arial" w:cs="Arial"/>
          <w:sz w:val="20"/>
          <w:szCs w:val="20"/>
        </w:rPr>
        <w:t xml:space="preserve">UK </w:t>
      </w:r>
      <w:r w:rsidRPr="0034068D">
        <w:rPr>
          <w:rFonts w:ascii="Arial" w:hAnsi="Arial" w:cs="Arial"/>
          <w:sz w:val="20"/>
          <w:szCs w:val="20"/>
        </w:rPr>
        <w:t>Government sets out its commitment to fully decarbonise the power sector by 2035</w:t>
      </w:r>
      <w:r w:rsidRPr="0034068D">
        <w:rPr>
          <w:rStyle w:val="FootnoteReference"/>
          <w:rFonts w:ascii="Arial" w:hAnsi="Arial" w:cs="Arial"/>
          <w:sz w:val="20"/>
          <w:szCs w:val="20"/>
        </w:rPr>
        <w:footnoteReference w:id="1"/>
      </w:r>
      <w:r w:rsidRPr="0034068D">
        <w:rPr>
          <w:rFonts w:ascii="Arial" w:hAnsi="Arial" w:cs="Arial"/>
          <w:sz w:val="20"/>
          <w:szCs w:val="20"/>
        </w:rPr>
        <w:t xml:space="preserve">. Therefore, </w:t>
      </w:r>
      <w:r w:rsidR="00A02FE6" w:rsidRPr="0034068D">
        <w:rPr>
          <w:rFonts w:ascii="Arial" w:hAnsi="Arial" w:cs="Arial"/>
          <w:sz w:val="20"/>
          <w:szCs w:val="20"/>
        </w:rPr>
        <w:t>policy outcomes from DUoS reform need to facilitate the allocation of increased level</w:t>
      </w:r>
      <w:r w:rsidR="0034068D">
        <w:rPr>
          <w:rFonts w:ascii="Arial" w:hAnsi="Arial" w:cs="Arial"/>
          <w:sz w:val="20"/>
          <w:szCs w:val="20"/>
        </w:rPr>
        <w:t>s</w:t>
      </w:r>
      <w:r w:rsidR="00A02FE6" w:rsidRPr="0034068D">
        <w:rPr>
          <w:rFonts w:ascii="Arial" w:hAnsi="Arial" w:cs="Arial"/>
          <w:sz w:val="20"/>
          <w:szCs w:val="20"/>
        </w:rPr>
        <w:t xml:space="preserve"> of flexibility and low carbon technologies required to meet this commitment.</w:t>
      </w:r>
    </w:p>
    <w:p w14:paraId="20547E17" w14:textId="2ACD0F4F" w:rsidR="007A5D81" w:rsidRPr="0034068D" w:rsidRDefault="00333A14" w:rsidP="00696BD9">
      <w:pPr>
        <w:pStyle w:val="Default"/>
        <w:spacing w:line="276" w:lineRule="auto"/>
        <w:jc w:val="both"/>
        <w:rPr>
          <w:rFonts w:ascii="Arial" w:hAnsi="Arial" w:cs="Arial"/>
          <w:color w:val="auto"/>
          <w:sz w:val="20"/>
          <w:szCs w:val="20"/>
        </w:rPr>
      </w:pPr>
      <w:r w:rsidRPr="0034068D">
        <w:rPr>
          <w:rFonts w:ascii="Arial" w:hAnsi="Arial" w:cs="Arial"/>
          <w:color w:val="auto"/>
          <w:sz w:val="20"/>
          <w:szCs w:val="20"/>
        </w:rPr>
        <w:t xml:space="preserve">In the Smart System and Flexibility Plan 2021, it is recognised that </w:t>
      </w:r>
      <w:r w:rsidR="005E77EC" w:rsidRPr="0034068D">
        <w:rPr>
          <w:rFonts w:ascii="Arial" w:hAnsi="Arial" w:cs="Arial"/>
          <w:color w:val="auto"/>
          <w:sz w:val="20"/>
          <w:szCs w:val="20"/>
        </w:rPr>
        <w:t>regulatory framework was not built with electricity storage in mind</w:t>
      </w:r>
      <w:r w:rsidR="00696BD9" w:rsidRPr="0034068D">
        <w:rPr>
          <w:rStyle w:val="FootnoteReference"/>
          <w:rFonts w:ascii="Arial" w:hAnsi="Arial" w:cs="Arial"/>
          <w:color w:val="auto"/>
          <w:sz w:val="20"/>
          <w:szCs w:val="20"/>
        </w:rPr>
        <w:footnoteReference w:id="2"/>
      </w:r>
      <w:r w:rsidR="005E77EC" w:rsidRPr="0034068D">
        <w:rPr>
          <w:rFonts w:ascii="Arial" w:hAnsi="Arial" w:cs="Arial"/>
          <w:color w:val="auto"/>
          <w:sz w:val="20"/>
          <w:szCs w:val="20"/>
        </w:rPr>
        <w:t xml:space="preserve">. We </w:t>
      </w:r>
      <w:r w:rsidR="001D11B0" w:rsidRPr="0034068D">
        <w:rPr>
          <w:rFonts w:ascii="Arial" w:hAnsi="Arial" w:cs="Arial"/>
          <w:color w:val="auto"/>
          <w:sz w:val="20"/>
          <w:szCs w:val="20"/>
        </w:rPr>
        <w:t>not</w:t>
      </w:r>
      <w:r w:rsidR="00322E75">
        <w:rPr>
          <w:rFonts w:ascii="Arial" w:hAnsi="Arial" w:cs="Arial"/>
          <w:color w:val="auto"/>
          <w:sz w:val="20"/>
          <w:szCs w:val="20"/>
        </w:rPr>
        <w:t>e</w:t>
      </w:r>
      <w:r w:rsidR="001D11B0" w:rsidRPr="0034068D">
        <w:rPr>
          <w:rFonts w:ascii="Arial" w:hAnsi="Arial" w:cs="Arial"/>
          <w:color w:val="auto"/>
          <w:sz w:val="20"/>
          <w:szCs w:val="20"/>
        </w:rPr>
        <w:t xml:space="preserve"> that Ofgem has made some progress in the way that </w:t>
      </w:r>
      <w:r w:rsidR="0034068D">
        <w:rPr>
          <w:rFonts w:ascii="Arial" w:hAnsi="Arial" w:cs="Arial"/>
          <w:color w:val="auto"/>
          <w:sz w:val="20"/>
          <w:szCs w:val="20"/>
        </w:rPr>
        <w:t xml:space="preserve">they </w:t>
      </w:r>
      <w:r w:rsidR="001D11B0" w:rsidRPr="0034068D">
        <w:rPr>
          <w:rFonts w:ascii="Arial" w:hAnsi="Arial" w:cs="Arial"/>
          <w:color w:val="auto"/>
          <w:sz w:val="20"/>
          <w:szCs w:val="20"/>
        </w:rPr>
        <w:t>are approaching flexibil</w:t>
      </w:r>
      <w:r w:rsidR="00BC43A3" w:rsidRPr="0034068D">
        <w:rPr>
          <w:rFonts w:ascii="Arial" w:hAnsi="Arial" w:cs="Arial"/>
          <w:color w:val="auto"/>
          <w:sz w:val="20"/>
          <w:szCs w:val="20"/>
        </w:rPr>
        <w:t xml:space="preserve">ity </w:t>
      </w:r>
      <w:r w:rsidR="001D11B0" w:rsidRPr="0034068D">
        <w:rPr>
          <w:rFonts w:ascii="Arial" w:hAnsi="Arial" w:cs="Arial"/>
          <w:color w:val="auto"/>
          <w:sz w:val="20"/>
          <w:szCs w:val="20"/>
        </w:rPr>
        <w:t>in the network. For example, in the recent Access SCR</w:t>
      </w:r>
      <w:r w:rsidR="00696BD9" w:rsidRPr="0034068D">
        <w:rPr>
          <w:rFonts w:ascii="Arial" w:hAnsi="Arial" w:cs="Arial"/>
          <w:color w:val="auto"/>
          <w:sz w:val="20"/>
          <w:szCs w:val="20"/>
        </w:rPr>
        <w:t xml:space="preserve"> some proposals </w:t>
      </w:r>
      <w:r w:rsidR="00322E75">
        <w:rPr>
          <w:rFonts w:ascii="Arial" w:hAnsi="Arial" w:cs="Arial"/>
          <w:color w:val="auto"/>
          <w:sz w:val="20"/>
          <w:szCs w:val="20"/>
        </w:rPr>
        <w:t>regarding the</w:t>
      </w:r>
      <w:r w:rsidR="00696BD9" w:rsidRPr="0034068D">
        <w:rPr>
          <w:rFonts w:ascii="Arial" w:hAnsi="Arial" w:cs="Arial"/>
          <w:color w:val="auto"/>
          <w:sz w:val="20"/>
          <w:szCs w:val="20"/>
        </w:rPr>
        <w:t xml:space="preserve"> connection boundary could facilitate the allocation of flexible technologies. Similarly, in the recent </w:t>
      </w:r>
      <w:r w:rsidR="00DB0E78" w:rsidRPr="0034068D">
        <w:rPr>
          <w:rFonts w:ascii="Arial" w:hAnsi="Arial" w:cs="Arial"/>
          <w:color w:val="auto"/>
          <w:sz w:val="20"/>
          <w:szCs w:val="20"/>
        </w:rPr>
        <w:t>c</w:t>
      </w:r>
      <w:r w:rsidR="00696BD9" w:rsidRPr="0034068D">
        <w:rPr>
          <w:rFonts w:ascii="Arial" w:hAnsi="Arial" w:cs="Arial"/>
          <w:color w:val="auto"/>
          <w:sz w:val="20"/>
          <w:szCs w:val="20"/>
        </w:rPr>
        <w:t>all for evidence on TNUoS</w:t>
      </w:r>
      <w:r w:rsidR="002A2858" w:rsidRPr="0034068D">
        <w:rPr>
          <w:rFonts w:ascii="Arial" w:hAnsi="Arial" w:cs="Arial"/>
          <w:color w:val="auto"/>
          <w:sz w:val="20"/>
          <w:szCs w:val="20"/>
        </w:rPr>
        <w:t>,</w:t>
      </w:r>
      <w:r w:rsidR="00696BD9" w:rsidRPr="0034068D">
        <w:rPr>
          <w:rFonts w:ascii="Arial" w:hAnsi="Arial" w:cs="Arial"/>
          <w:color w:val="auto"/>
          <w:sz w:val="20"/>
          <w:szCs w:val="20"/>
        </w:rPr>
        <w:t xml:space="preserve"> Ofgem states that further work in respect of charging arrangements for storage of all sizes may be warranted in the context of its potential to provide solutions to network issues. </w:t>
      </w:r>
      <w:r w:rsidR="007A5D81" w:rsidRPr="0034068D">
        <w:rPr>
          <w:rFonts w:ascii="Arial" w:hAnsi="Arial" w:cs="Arial"/>
          <w:color w:val="auto"/>
          <w:sz w:val="20"/>
          <w:szCs w:val="20"/>
        </w:rPr>
        <w:t xml:space="preserve">Additionally, </w:t>
      </w:r>
      <w:r w:rsidR="00C01CCB" w:rsidRPr="0034068D">
        <w:rPr>
          <w:rFonts w:ascii="Arial" w:hAnsi="Arial" w:cs="Arial"/>
          <w:color w:val="auto"/>
          <w:sz w:val="20"/>
          <w:szCs w:val="20"/>
        </w:rPr>
        <w:t>there has been some engagement with stakeholders from the setup of Ofgem's Full Chain Flexibility</w:t>
      </w:r>
      <w:r w:rsidR="00322E75">
        <w:rPr>
          <w:rFonts w:ascii="Arial" w:hAnsi="Arial" w:cs="Arial"/>
          <w:color w:val="auto"/>
          <w:sz w:val="20"/>
          <w:szCs w:val="20"/>
        </w:rPr>
        <w:t xml:space="preserve"> Forum</w:t>
      </w:r>
      <w:r w:rsidR="00C01CCB" w:rsidRPr="0034068D">
        <w:rPr>
          <w:rFonts w:ascii="Arial" w:hAnsi="Arial" w:cs="Arial"/>
          <w:color w:val="auto"/>
          <w:sz w:val="20"/>
          <w:szCs w:val="20"/>
        </w:rPr>
        <w:t>.</w:t>
      </w:r>
    </w:p>
    <w:p w14:paraId="23A2C2FA" w14:textId="77777777" w:rsidR="00C01CCB" w:rsidRPr="0034068D" w:rsidRDefault="00C01CCB" w:rsidP="00696BD9">
      <w:pPr>
        <w:pStyle w:val="Default"/>
        <w:spacing w:line="276" w:lineRule="auto"/>
        <w:jc w:val="both"/>
        <w:rPr>
          <w:rFonts w:ascii="Arial" w:hAnsi="Arial" w:cs="Arial"/>
          <w:color w:val="auto"/>
          <w:sz w:val="20"/>
          <w:szCs w:val="20"/>
        </w:rPr>
      </w:pPr>
    </w:p>
    <w:p w14:paraId="72C4A563" w14:textId="6D7D2875" w:rsidR="00550C65" w:rsidRPr="0034068D" w:rsidRDefault="002A2858" w:rsidP="00696BD9">
      <w:pPr>
        <w:pStyle w:val="Default"/>
        <w:spacing w:line="276" w:lineRule="auto"/>
        <w:jc w:val="both"/>
        <w:rPr>
          <w:rFonts w:ascii="Arial" w:hAnsi="Arial" w:cs="Arial"/>
          <w:color w:val="auto"/>
          <w:sz w:val="20"/>
          <w:szCs w:val="20"/>
        </w:rPr>
      </w:pPr>
      <w:r w:rsidRPr="0034068D">
        <w:rPr>
          <w:rFonts w:ascii="Arial" w:hAnsi="Arial" w:cs="Arial"/>
          <w:color w:val="auto"/>
          <w:sz w:val="20"/>
          <w:szCs w:val="20"/>
        </w:rPr>
        <w:lastRenderedPageBreak/>
        <w:t xml:space="preserve">However, </w:t>
      </w:r>
      <w:r w:rsidR="007A5D81" w:rsidRPr="0034068D">
        <w:rPr>
          <w:rFonts w:ascii="Arial" w:hAnsi="Arial" w:cs="Arial"/>
          <w:color w:val="auto"/>
          <w:sz w:val="20"/>
          <w:szCs w:val="20"/>
        </w:rPr>
        <w:t xml:space="preserve">to date </w:t>
      </w:r>
      <w:r w:rsidRPr="0034068D">
        <w:rPr>
          <w:rFonts w:ascii="Arial" w:hAnsi="Arial" w:cs="Arial"/>
          <w:color w:val="auto"/>
          <w:sz w:val="20"/>
          <w:szCs w:val="20"/>
        </w:rPr>
        <w:t>we haven’t seen any clear policy outcome that would facilitate the treatment of storage in the network. It is Scottish Renewables</w:t>
      </w:r>
      <w:r w:rsidR="0034068D">
        <w:rPr>
          <w:rFonts w:ascii="Arial" w:hAnsi="Arial" w:cs="Arial"/>
          <w:color w:val="auto"/>
          <w:sz w:val="20"/>
          <w:szCs w:val="20"/>
        </w:rPr>
        <w:t>’</w:t>
      </w:r>
      <w:r w:rsidRPr="0034068D">
        <w:rPr>
          <w:rFonts w:ascii="Arial" w:hAnsi="Arial" w:cs="Arial"/>
          <w:color w:val="auto"/>
          <w:sz w:val="20"/>
          <w:szCs w:val="20"/>
        </w:rPr>
        <w:t xml:space="preserve"> view that storage of all sizes needs to be treated </w:t>
      </w:r>
      <w:r w:rsidR="000806E9" w:rsidRPr="0034068D">
        <w:rPr>
          <w:rFonts w:ascii="Arial" w:hAnsi="Arial" w:cs="Arial"/>
          <w:color w:val="auto"/>
          <w:sz w:val="20"/>
          <w:szCs w:val="20"/>
        </w:rPr>
        <w:t>in a way that reflect</w:t>
      </w:r>
      <w:r w:rsidR="0034068D">
        <w:rPr>
          <w:rFonts w:ascii="Arial" w:hAnsi="Arial" w:cs="Arial"/>
          <w:color w:val="auto"/>
          <w:sz w:val="20"/>
          <w:szCs w:val="20"/>
        </w:rPr>
        <w:t>s</w:t>
      </w:r>
      <w:r w:rsidR="000806E9" w:rsidRPr="0034068D">
        <w:rPr>
          <w:rFonts w:ascii="Arial" w:hAnsi="Arial" w:cs="Arial"/>
          <w:color w:val="auto"/>
          <w:sz w:val="20"/>
          <w:szCs w:val="20"/>
        </w:rPr>
        <w:t xml:space="preserve"> the value that these flexibility resources provide to the electricity system, both as demand and generation</w:t>
      </w:r>
      <w:r w:rsidR="00F564BE" w:rsidRPr="0034068D">
        <w:rPr>
          <w:rFonts w:ascii="Arial" w:hAnsi="Arial" w:cs="Arial"/>
          <w:color w:val="auto"/>
          <w:sz w:val="20"/>
          <w:szCs w:val="20"/>
        </w:rPr>
        <w:t>.</w:t>
      </w:r>
      <w:r w:rsidR="000806E9" w:rsidRPr="0034068D">
        <w:rPr>
          <w:rFonts w:ascii="Arial" w:hAnsi="Arial" w:cs="Arial"/>
          <w:color w:val="auto"/>
          <w:sz w:val="20"/>
          <w:szCs w:val="20"/>
        </w:rPr>
        <w:t xml:space="preserve"> </w:t>
      </w:r>
      <w:r w:rsidR="003E5A90" w:rsidRPr="0034068D">
        <w:rPr>
          <w:rFonts w:ascii="Arial" w:hAnsi="Arial" w:cs="Arial"/>
          <w:color w:val="auto"/>
          <w:sz w:val="20"/>
          <w:szCs w:val="20"/>
        </w:rPr>
        <w:t xml:space="preserve">We believe that </w:t>
      </w:r>
      <w:r w:rsidR="000806E9" w:rsidRPr="0034068D">
        <w:rPr>
          <w:rFonts w:ascii="Arial" w:hAnsi="Arial" w:cs="Arial"/>
          <w:color w:val="auto"/>
          <w:sz w:val="20"/>
          <w:szCs w:val="20"/>
        </w:rPr>
        <w:t>policy outcomes from DUoS reform</w:t>
      </w:r>
      <w:r w:rsidR="00550C65" w:rsidRPr="0034068D">
        <w:rPr>
          <w:rFonts w:ascii="Arial" w:hAnsi="Arial" w:cs="Arial"/>
          <w:color w:val="auto"/>
          <w:sz w:val="20"/>
          <w:szCs w:val="20"/>
        </w:rPr>
        <w:t>,</w:t>
      </w:r>
      <w:r w:rsidR="000806E9" w:rsidRPr="0034068D">
        <w:rPr>
          <w:rFonts w:ascii="Arial" w:hAnsi="Arial" w:cs="Arial"/>
          <w:color w:val="auto"/>
          <w:sz w:val="20"/>
          <w:szCs w:val="20"/>
        </w:rPr>
        <w:t xml:space="preserve"> </w:t>
      </w:r>
      <w:r w:rsidR="00550C65" w:rsidRPr="0034068D">
        <w:rPr>
          <w:rFonts w:ascii="Arial" w:hAnsi="Arial" w:cs="Arial"/>
          <w:color w:val="auto"/>
          <w:sz w:val="20"/>
          <w:szCs w:val="20"/>
        </w:rPr>
        <w:t>as well as the interaction between this reform and recent proposals from the Access SCR, particularly in connection boundary, must be look</w:t>
      </w:r>
      <w:r w:rsidR="00C31D69">
        <w:rPr>
          <w:rFonts w:ascii="Arial" w:hAnsi="Arial" w:cs="Arial"/>
          <w:color w:val="auto"/>
          <w:sz w:val="20"/>
          <w:szCs w:val="20"/>
        </w:rPr>
        <w:t>ed</w:t>
      </w:r>
      <w:r w:rsidR="00550C65" w:rsidRPr="0034068D">
        <w:rPr>
          <w:rFonts w:ascii="Arial" w:hAnsi="Arial" w:cs="Arial"/>
          <w:color w:val="auto"/>
          <w:sz w:val="20"/>
          <w:szCs w:val="20"/>
        </w:rPr>
        <w:t xml:space="preserve"> at carefully in order to enable the increased level of flexibility required in the network.</w:t>
      </w:r>
    </w:p>
    <w:p w14:paraId="5CF66622" w14:textId="14103DC2" w:rsidR="001D11B0" w:rsidRPr="0034068D" w:rsidRDefault="001D11B0" w:rsidP="00333A14">
      <w:pPr>
        <w:autoSpaceDE w:val="0"/>
        <w:autoSpaceDN w:val="0"/>
        <w:adjustRightInd w:val="0"/>
        <w:spacing w:after="0"/>
        <w:jc w:val="both"/>
        <w:rPr>
          <w:rFonts w:ascii="Arial" w:hAnsi="Arial" w:cs="Arial"/>
          <w:color w:val="000000"/>
          <w:sz w:val="20"/>
          <w:szCs w:val="20"/>
        </w:rPr>
      </w:pPr>
    </w:p>
    <w:p w14:paraId="5FB5303B" w14:textId="3D7BD5F0" w:rsidR="00525070" w:rsidRPr="0034068D" w:rsidRDefault="00550C65" w:rsidP="00C85301">
      <w:pPr>
        <w:jc w:val="both"/>
        <w:rPr>
          <w:rFonts w:ascii="Arial" w:hAnsi="Arial" w:cs="Arial"/>
          <w:sz w:val="20"/>
          <w:szCs w:val="20"/>
        </w:rPr>
      </w:pPr>
      <w:r w:rsidRPr="0034068D">
        <w:rPr>
          <w:rFonts w:ascii="Arial" w:hAnsi="Arial" w:cs="Arial"/>
          <w:color w:val="000000"/>
          <w:sz w:val="20"/>
          <w:szCs w:val="20"/>
        </w:rPr>
        <w:t xml:space="preserve">We </w:t>
      </w:r>
      <w:r w:rsidR="00281E86" w:rsidRPr="0034068D">
        <w:rPr>
          <w:rFonts w:ascii="Arial" w:hAnsi="Arial" w:cs="Arial"/>
          <w:color w:val="000000"/>
          <w:sz w:val="20"/>
          <w:szCs w:val="20"/>
        </w:rPr>
        <w:t xml:space="preserve">would </w:t>
      </w:r>
      <w:r w:rsidRPr="0034068D">
        <w:rPr>
          <w:rFonts w:ascii="Arial" w:hAnsi="Arial" w:cs="Arial"/>
          <w:color w:val="000000"/>
          <w:sz w:val="20"/>
          <w:szCs w:val="20"/>
        </w:rPr>
        <w:t xml:space="preserve">also </w:t>
      </w:r>
      <w:r w:rsidR="00281E86" w:rsidRPr="0034068D">
        <w:rPr>
          <w:rFonts w:ascii="Arial" w:hAnsi="Arial" w:cs="Arial"/>
          <w:color w:val="000000"/>
          <w:sz w:val="20"/>
          <w:szCs w:val="20"/>
        </w:rPr>
        <w:t xml:space="preserve">like to </w:t>
      </w:r>
      <w:r w:rsidRPr="0034068D">
        <w:rPr>
          <w:rFonts w:ascii="Arial" w:hAnsi="Arial" w:cs="Arial"/>
          <w:color w:val="000000"/>
          <w:sz w:val="20"/>
          <w:szCs w:val="20"/>
        </w:rPr>
        <w:t xml:space="preserve">note that </w:t>
      </w:r>
      <w:r w:rsidR="00A60A34" w:rsidRPr="0034068D">
        <w:rPr>
          <w:rFonts w:ascii="Arial" w:hAnsi="Arial" w:cs="Arial"/>
          <w:color w:val="000000"/>
          <w:sz w:val="20"/>
          <w:szCs w:val="20"/>
        </w:rPr>
        <w:t>some of the</w:t>
      </w:r>
      <w:r w:rsidR="00281E86" w:rsidRPr="0034068D">
        <w:rPr>
          <w:rFonts w:ascii="Arial" w:hAnsi="Arial" w:cs="Arial"/>
          <w:color w:val="000000"/>
          <w:sz w:val="20"/>
          <w:szCs w:val="20"/>
        </w:rPr>
        <w:t xml:space="preserve"> proposal</w:t>
      </w:r>
      <w:r w:rsidR="00A60A34" w:rsidRPr="0034068D">
        <w:rPr>
          <w:rFonts w:ascii="Arial" w:hAnsi="Arial" w:cs="Arial"/>
          <w:color w:val="000000"/>
          <w:sz w:val="20"/>
          <w:szCs w:val="20"/>
        </w:rPr>
        <w:t>s</w:t>
      </w:r>
      <w:r w:rsidR="00281E86" w:rsidRPr="0034068D">
        <w:rPr>
          <w:rFonts w:ascii="Arial" w:hAnsi="Arial" w:cs="Arial"/>
          <w:color w:val="000000"/>
          <w:sz w:val="20"/>
          <w:szCs w:val="20"/>
        </w:rPr>
        <w:t xml:space="preserve"> from the </w:t>
      </w:r>
      <w:r w:rsidR="00A60A34" w:rsidRPr="0034068D">
        <w:rPr>
          <w:rFonts w:ascii="Arial" w:hAnsi="Arial" w:cs="Arial"/>
          <w:color w:val="000000"/>
          <w:sz w:val="20"/>
          <w:szCs w:val="20"/>
        </w:rPr>
        <w:t xml:space="preserve">recent </w:t>
      </w:r>
      <w:r w:rsidR="00281E86" w:rsidRPr="0034068D">
        <w:rPr>
          <w:rFonts w:ascii="Arial" w:hAnsi="Arial" w:cs="Arial"/>
          <w:color w:val="000000"/>
          <w:sz w:val="20"/>
          <w:szCs w:val="20"/>
        </w:rPr>
        <w:t xml:space="preserve">Access SCR were welcomed by </w:t>
      </w:r>
      <w:r w:rsidR="00BD2FFE" w:rsidRPr="0034068D">
        <w:rPr>
          <w:rFonts w:ascii="Arial" w:hAnsi="Arial" w:cs="Arial"/>
          <w:color w:val="000000"/>
          <w:sz w:val="20"/>
          <w:szCs w:val="20"/>
        </w:rPr>
        <w:t>the renewable energy sector</w:t>
      </w:r>
      <w:r w:rsidR="00281E86" w:rsidRPr="0034068D">
        <w:rPr>
          <w:rFonts w:ascii="Arial" w:hAnsi="Arial" w:cs="Arial"/>
          <w:color w:val="000000"/>
          <w:sz w:val="20"/>
          <w:szCs w:val="20"/>
        </w:rPr>
        <w:t xml:space="preserve">, particularly in relation </w:t>
      </w:r>
      <w:r w:rsidR="00C31D69">
        <w:rPr>
          <w:rFonts w:ascii="Arial" w:hAnsi="Arial" w:cs="Arial"/>
          <w:color w:val="000000"/>
          <w:sz w:val="20"/>
          <w:szCs w:val="20"/>
        </w:rPr>
        <w:t>to</w:t>
      </w:r>
      <w:r w:rsidR="00C31D69" w:rsidRPr="0034068D">
        <w:rPr>
          <w:rFonts w:ascii="Arial" w:hAnsi="Arial" w:cs="Arial"/>
          <w:color w:val="000000"/>
          <w:sz w:val="20"/>
          <w:szCs w:val="20"/>
        </w:rPr>
        <w:t xml:space="preserve"> </w:t>
      </w:r>
      <w:r w:rsidR="00281E86" w:rsidRPr="0034068D">
        <w:rPr>
          <w:rFonts w:ascii="Arial" w:hAnsi="Arial" w:cs="Arial"/>
          <w:color w:val="000000"/>
          <w:sz w:val="20"/>
          <w:szCs w:val="20"/>
        </w:rPr>
        <w:t>r</w:t>
      </w:r>
      <w:r w:rsidR="00281E86" w:rsidRPr="0034068D">
        <w:rPr>
          <w:rFonts w:ascii="Arial" w:hAnsi="Arial" w:cs="Arial"/>
          <w:sz w:val="20"/>
          <w:szCs w:val="20"/>
        </w:rPr>
        <w:t xml:space="preserve">emoving the contribution to reinforcement for demand connections and </w:t>
      </w:r>
      <w:r w:rsidR="00C31D69" w:rsidRPr="0034068D">
        <w:rPr>
          <w:rFonts w:ascii="Arial" w:hAnsi="Arial" w:cs="Arial"/>
          <w:sz w:val="20"/>
          <w:szCs w:val="20"/>
        </w:rPr>
        <w:t>reduc</w:t>
      </w:r>
      <w:r w:rsidR="00C31D69">
        <w:rPr>
          <w:rFonts w:ascii="Arial" w:hAnsi="Arial" w:cs="Arial"/>
          <w:sz w:val="20"/>
          <w:szCs w:val="20"/>
        </w:rPr>
        <w:t>ing</w:t>
      </w:r>
      <w:r w:rsidR="00C31D69" w:rsidRPr="0034068D">
        <w:rPr>
          <w:rFonts w:ascii="Arial" w:hAnsi="Arial" w:cs="Arial"/>
          <w:sz w:val="20"/>
          <w:szCs w:val="20"/>
        </w:rPr>
        <w:t xml:space="preserve"> </w:t>
      </w:r>
      <w:r w:rsidR="00281E86" w:rsidRPr="0034068D">
        <w:rPr>
          <w:rFonts w:ascii="Arial" w:hAnsi="Arial" w:cs="Arial"/>
          <w:sz w:val="20"/>
          <w:szCs w:val="20"/>
        </w:rPr>
        <w:t>it for generation</w:t>
      </w:r>
      <w:r w:rsidR="00281541" w:rsidRPr="0034068D">
        <w:rPr>
          <w:rFonts w:ascii="Arial" w:hAnsi="Arial" w:cs="Arial"/>
          <w:sz w:val="20"/>
          <w:szCs w:val="20"/>
        </w:rPr>
        <w:t xml:space="preserve">. This means lower connection charges for SDG, with locational signal passed on to DUoS. </w:t>
      </w:r>
      <w:r w:rsidR="00C85301" w:rsidRPr="0034068D">
        <w:rPr>
          <w:rFonts w:ascii="Arial" w:hAnsi="Arial" w:cs="Arial"/>
          <w:sz w:val="20"/>
          <w:szCs w:val="20"/>
        </w:rPr>
        <w:t xml:space="preserve">We think that this new arrangement </w:t>
      </w:r>
      <w:r w:rsidR="00A60A34" w:rsidRPr="0034068D">
        <w:rPr>
          <w:rFonts w:ascii="Arial" w:hAnsi="Arial" w:cs="Arial"/>
          <w:sz w:val="20"/>
          <w:szCs w:val="20"/>
        </w:rPr>
        <w:t>sends</w:t>
      </w:r>
      <w:r w:rsidR="00C85301" w:rsidRPr="0034068D">
        <w:rPr>
          <w:rFonts w:ascii="Arial" w:hAnsi="Arial" w:cs="Arial"/>
          <w:sz w:val="20"/>
          <w:szCs w:val="20"/>
        </w:rPr>
        <w:t xml:space="preserve"> an effective signal for network users and may speed up the roll-out of low carbon technologies. However, </w:t>
      </w:r>
      <w:r w:rsidR="008E2F75" w:rsidRPr="0034068D">
        <w:rPr>
          <w:rFonts w:ascii="Arial" w:hAnsi="Arial" w:cs="Arial"/>
          <w:sz w:val="20"/>
          <w:szCs w:val="20"/>
        </w:rPr>
        <w:t xml:space="preserve">changes </w:t>
      </w:r>
      <w:r w:rsidR="008F11FE" w:rsidRPr="0034068D">
        <w:rPr>
          <w:rFonts w:ascii="Arial" w:hAnsi="Arial" w:cs="Arial"/>
          <w:sz w:val="20"/>
          <w:szCs w:val="20"/>
        </w:rPr>
        <w:t>from DUoS reform could create an undesirable outcome if these two proposals are not review</w:t>
      </w:r>
      <w:r w:rsidR="00C31D69">
        <w:rPr>
          <w:rFonts w:ascii="Arial" w:hAnsi="Arial" w:cs="Arial"/>
          <w:sz w:val="20"/>
          <w:szCs w:val="20"/>
        </w:rPr>
        <w:t>ed</w:t>
      </w:r>
      <w:r w:rsidR="008F11FE" w:rsidRPr="0034068D">
        <w:rPr>
          <w:rFonts w:ascii="Arial" w:hAnsi="Arial" w:cs="Arial"/>
          <w:sz w:val="20"/>
          <w:szCs w:val="20"/>
        </w:rPr>
        <w:t xml:space="preserve"> all together. </w:t>
      </w:r>
      <w:r w:rsidR="00C80D66" w:rsidRPr="0034068D">
        <w:rPr>
          <w:rFonts w:ascii="Arial" w:hAnsi="Arial" w:cs="Arial"/>
          <w:sz w:val="20"/>
          <w:szCs w:val="20"/>
        </w:rPr>
        <w:t xml:space="preserve">We suggest that Ofgem </w:t>
      </w:r>
      <w:r w:rsidR="00BD2FFE" w:rsidRPr="0034068D">
        <w:rPr>
          <w:rFonts w:ascii="Arial" w:hAnsi="Arial" w:cs="Arial"/>
          <w:sz w:val="20"/>
          <w:szCs w:val="20"/>
        </w:rPr>
        <w:t>carefully assess</w:t>
      </w:r>
      <w:r w:rsidR="00525070" w:rsidRPr="0034068D">
        <w:rPr>
          <w:rFonts w:ascii="Arial" w:hAnsi="Arial" w:cs="Arial"/>
          <w:sz w:val="20"/>
          <w:szCs w:val="20"/>
        </w:rPr>
        <w:t xml:space="preserve"> </w:t>
      </w:r>
      <w:r w:rsidR="00C80D66" w:rsidRPr="0034068D">
        <w:rPr>
          <w:rFonts w:ascii="Arial" w:hAnsi="Arial" w:cs="Arial"/>
          <w:sz w:val="20"/>
          <w:szCs w:val="20"/>
        </w:rPr>
        <w:t xml:space="preserve">any changes on DUoS reform that </w:t>
      </w:r>
      <w:r w:rsidR="008E2F75" w:rsidRPr="0034068D">
        <w:rPr>
          <w:rFonts w:ascii="Arial" w:hAnsi="Arial" w:cs="Arial"/>
          <w:sz w:val="20"/>
          <w:szCs w:val="20"/>
        </w:rPr>
        <w:t>could</w:t>
      </w:r>
      <w:r w:rsidR="00C80D66" w:rsidRPr="0034068D">
        <w:rPr>
          <w:rFonts w:ascii="Arial" w:hAnsi="Arial" w:cs="Arial"/>
          <w:sz w:val="20"/>
          <w:szCs w:val="20"/>
        </w:rPr>
        <w:t xml:space="preserve"> end up slowing down </w:t>
      </w:r>
      <w:r w:rsidR="00A60A34" w:rsidRPr="0034068D">
        <w:rPr>
          <w:rFonts w:ascii="Arial" w:hAnsi="Arial" w:cs="Arial"/>
          <w:sz w:val="20"/>
          <w:szCs w:val="20"/>
        </w:rPr>
        <w:t>the roll out of low carbon technologies</w:t>
      </w:r>
      <w:r w:rsidR="00281541" w:rsidRPr="0034068D">
        <w:rPr>
          <w:rFonts w:ascii="Arial" w:hAnsi="Arial" w:cs="Arial"/>
          <w:sz w:val="20"/>
          <w:szCs w:val="20"/>
        </w:rPr>
        <w:t xml:space="preserve">, which would be an </w:t>
      </w:r>
      <w:r w:rsidR="00C31D69">
        <w:rPr>
          <w:rFonts w:ascii="Arial" w:hAnsi="Arial" w:cs="Arial"/>
          <w:sz w:val="20"/>
          <w:szCs w:val="20"/>
        </w:rPr>
        <w:t>extremely</w:t>
      </w:r>
      <w:r w:rsidR="00C31D69" w:rsidRPr="0034068D">
        <w:rPr>
          <w:rFonts w:ascii="Arial" w:hAnsi="Arial" w:cs="Arial"/>
          <w:sz w:val="20"/>
          <w:szCs w:val="20"/>
        </w:rPr>
        <w:t xml:space="preserve"> </w:t>
      </w:r>
      <w:r w:rsidR="00281541" w:rsidRPr="0034068D">
        <w:rPr>
          <w:rFonts w:ascii="Arial" w:hAnsi="Arial" w:cs="Arial"/>
          <w:sz w:val="20"/>
          <w:szCs w:val="20"/>
        </w:rPr>
        <w:t>undesirable outcome.</w:t>
      </w:r>
    </w:p>
    <w:p w14:paraId="0FD322EF" w14:textId="17D1226B" w:rsidR="00486153" w:rsidRPr="0034068D" w:rsidRDefault="00BD2FFE" w:rsidP="00486153">
      <w:pPr>
        <w:jc w:val="both"/>
        <w:rPr>
          <w:rFonts w:ascii="Arial" w:hAnsi="Arial" w:cs="Arial"/>
          <w:sz w:val="20"/>
          <w:szCs w:val="20"/>
        </w:rPr>
      </w:pPr>
      <w:r w:rsidRPr="0034068D">
        <w:rPr>
          <w:rFonts w:ascii="Arial" w:hAnsi="Arial" w:cs="Arial"/>
          <w:sz w:val="20"/>
          <w:szCs w:val="20"/>
        </w:rPr>
        <w:t>We also agree with the need f</w:t>
      </w:r>
      <w:r w:rsidR="00FD444C">
        <w:rPr>
          <w:rFonts w:ascii="Arial" w:hAnsi="Arial" w:cs="Arial"/>
          <w:sz w:val="20"/>
          <w:szCs w:val="20"/>
        </w:rPr>
        <w:t>or</w:t>
      </w:r>
      <w:r w:rsidRPr="0034068D">
        <w:rPr>
          <w:rFonts w:ascii="Arial" w:hAnsi="Arial" w:cs="Arial"/>
          <w:sz w:val="20"/>
          <w:szCs w:val="20"/>
        </w:rPr>
        <w:t xml:space="preserve"> alignment of D</w:t>
      </w:r>
      <w:r w:rsidR="00187708" w:rsidRPr="0034068D">
        <w:rPr>
          <w:rFonts w:ascii="Arial" w:hAnsi="Arial" w:cs="Arial"/>
          <w:sz w:val="20"/>
          <w:szCs w:val="20"/>
        </w:rPr>
        <w:t>U</w:t>
      </w:r>
      <w:r w:rsidRPr="0034068D">
        <w:rPr>
          <w:rFonts w:ascii="Arial" w:hAnsi="Arial" w:cs="Arial"/>
          <w:sz w:val="20"/>
          <w:szCs w:val="20"/>
        </w:rPr>
        <w:t>o</w:t>
      </w:r>
      <w:r w:rsidR="00187708" w:rsidRPr="0034068D">
        <w:rPr>
          <w:rFonts w:ascii="Arial" w:hAnsi="Arial" w:cs="Arial"/>
          <w:sz w:val="20"/>
          <w:szCs w:val="20"/>
        </w:rPr>
        <w:t>S</w:t>
      </w:r>
      <w:r w:rsidRPr="0034068D">
        <w:rPr>
          <w:rFonts w:ascii="Arial" w:hAnsi="Arial" w:cs="Arial"/>
          <w:sz w:val="20"/>
          <w:szCs w:val="20"/>
        </w:rPr>
        <w:t xml:space="preserve"> with other priority areas such as the</w:t>
      </w:r>
      <w:r w:rsidR="005B7984" w:rsidRPr="0034068D">
        <w:rPr>
          <w:rFonts w:ascii="Arial" w:hAnsi="Arial" w:cs="Arial"/>
          <w:sz w:val="20"/>
          <w:szCs w:val="20"/>
        </w:rPr>
        <w:t xml:space="preserve"> </w:t>
      </w:r>
      <w:r w:rsidR="00B8017B" w:rsidRPr="0034068D">
        <w:rPr>
          <w:rFonts w:ascii="Arial" w:hAnsi="Arial" w:cs="Arial"/>
          <w:sz w:val="20"/>
          <w:szCs w:val="20"/>
        </w:rPr>
        <w:t>electricity</w:t>
      </w:r>
      <w:r w:rsidRPr="0034068D">
        <w:rPr>
          <w:rFonts w:ascii="Arial" w:hAnsi="Arial" w:cs="Arial"/>
          <w:sz w:val="20"/>
          <w:szCs w:val="20"/>
        </w:rPr>
        <w:t xml:space="preserve"> market reform</w:t>
      </w:r>
      <w:r w:rsidR="00486153" w:rsidRPr="0034068D">
        <w:rPr>
          <w:rFonts w:ascii="Arial" w:hAnsi="Arial" w:cs="Arial"/>
          <w:sz w:val="20"/>
          <w:szCs w:val="20"/>
        </w:rPr>
        <w:t xml:space="preserve">, </w:t>
      </w:r>
      <w:r w:rsidRPr="0034068D">
        <w:rPr>
          <w:rFonts w:ascii="Arial" w:hAnsi="Arial" w:cs="Arial"/>
          <w:sz w:val="20"/>
          <w:szCs w:val="20"/>
        </w:rPr>
        <w:t>transport and heat decarbonisation</w:t>
      </w:r>
      <w:r w:rsidR="00187708" w:rsidRPr="0034068D">
        <w:rPr>
          <w:rFonts w:ascii="Arial" w:hAnsi="Arial" w:cs="Arial"/>
          <w:sz w:val="20"/>
          <w:szCs w:val="20"/>
        </w:rPr>
        <w:t xml:space="preserve">. </w:t>
      </w:r>
      <w:r w:rsidR="009553E1" w:rsidRPr="0034068D">
        <w:rPr>
          <w:rFonts w:ascii="Arial" w:hAnsi="Arial" w:cs="Arial"/>
          <w:sz w:val="20"/>
          <w:szCs w:val="20"/>
        </w:rPr>
        <w:t>In the recent Heat and Building Strategy,</w:t>
      </w:r>
      <w:r w:rsidR="00582424" w:rsidRPr="0034068D">
        <w:rPr>
          <w:rFonts w:ascii="Arial" w:hAnsi="Arial" w:cs="Arial"/>
          <w:sz w:val="20"/>
          <w:szCs w:val="20"/>
        </w:rPr>
        <w:t xml:space="preserve"> </w:t>
      </w:r>
      <w:r w:rsidR="009553E1" w:rsidRPr="0034068D">
        <w:rPr>
          <w:rFonts w:ascii="Arial" w:hAnsi="Arial" w:cs="Arial"/>
          <w:sz w:val="20"/>
          <w:szCs w:val="20"/>
        </w:rPr>
        <w:t xml:space="preserve">Government </w:t>
      </w:r>
      <w:r w:rsidR="00CB25B7" w:rsidRPr="0034068D">
        <w:rPr>
          <w:rFonts w:ascii="Arial" w:hAnsi="Arial" w:cs="Arial"/>
          <w:sz w:val="20"/>
          <w:szCs w:val="20"/>
        </w:rPr>
        <w:t>committed to ‘ensuring that the electricity system can accommodate increased electricity demand and heat pumps can be quickly and affordable connected to the network’.</w:t>
      </w:r>
      <w:r w:rsidR="00486153" w:rsidRPr="0034068D">
        <w:rPr>
          <w:rFonts w:ascii="Arial" w:hAnsi="Arial" w:cs="Arial"/>
          <w:sz w:val="20"/>
          <w:szCs w:val="20"/>
        </w:rPr>
        <w:t xml:space="preserve"> In the same document Government states that they have </w:t>
      </w:r>
      <w:r w:rsidR="00CB25B7" w:rsidRPr="0034068D">
        <w:rPr>
          <w:rFonts w:ascii="Arial" w:hAnsi="Arial" w:cs="Arial"/>
          <w:sz w:val="20"/>
          <w:szCs w:val="20"/>
        </w:rPr>
        <w:t xml:space="preserve">been engaging with distribution network operators (DNOs) and the Energy Networks Association to understand the potential scale of the need for local network reinforcement and preparations for electrification of heat. </w:t>
      </w:r>
      <w:r w:rsidR="00486153" w:rsidRPr="0034068D">
        <w:rPr>
          <w:rFonts w:ascii="Arial" w:hAnsi="Arial" w:cs="Arial"/>
          <w:sz w:val="20"/>
          <w:szCs w:val="20"/>
        </w:rPr>
        <w:t xml:space="preserve">It is also </w:t>
      </w:r>
      <w:r w:rsidR="00EF0144" w:rsidRPr="0034068D">
        <w:rPr>
          <w:rFonts w:ascii="Arial" w:hAnsi="Arial" w:cs="Arial"/>
          <w:sz w:val="20"/>
          <w:szCs w:val="20"/>
        </w:rPr>
        <w:t>pointed out</w:t>
      </w:r>
      <w:r w:rsidR="00486153" w:rsidRPr="0034068D">
        <w:rPr>
          <w:rFonts w:ascii="Arial" w:hAnsi="Arial" w:cs="Arial"/>
          <w:sz w:val="20"/>
          <w:szCs w:val="20"/>
        </w:rPr>
        <w:t xml:space="preserve"> that Ofgem has confirmed commitment in the RIIO-ED2 plan to support strategic investment to deliver net zero</w:t>
      </w:r>
      <w:r w:rsidR="00486153" w:rsidRPr="0034068D">
        <w:rPr>
          <w:rStyle w:val="FootnoteReference"/>
          <w:rFonts w:ascii="Arial" w:hAnsi="Arial" w:cs="Arial"/>
          <w:sz w:val="20"/>
          <w:szCs w:val="20"/>
        </w:rPr>
        <w:footnoteReference w:id="3"/>
      </w:r>
      <w:r w:rsidR="00486153" w:rsidRPr="0034068D">
        <w:rPr>
          <w:rFonts w:ascii="Arial" w:hAnsi="Arial" w:cs="Arial"/>
          <w:sz w:val="20"/>
          <w:szCs w:val="20"/>
        </w:rPr>
        <w:t xml:space="preserve">. </w:t>
      </w:r>
      <w:r w:rsidR="00582424" w:rsidRPr="0034068D">
        <w:rPr>
          <w:rFonts w:ascii="Arial" w:hAnsi="Arial" w:cs="Arial"/>
          <w:sz w:val="20"/>
          <w:szCs w:val="20"/>
        </w:rPr>
        <w:t xml:space="preserve">Scottish Renewables believe that DUoS has a strong link with what will happen with the final RIIO-ED2 plan, </w:t>
      </w:r>
      <w:r w:rsidR="000372B4" w:rsidRPr="0034068D">
        <w:rPr>
          <w:rFonts w:ascii="Arial" w:hAnsi="Arial" w:cs="Arial"/>
          <w:sz w:val="20"/>
          <w:szCs w:val="20"/>
        </w:rPr>
        <w:t>specifically</w:t>
      </w:r>
      <w:r w:rsidR="00582424" w:rsidRPr="0034068D">
        <w:rPr>
          <w:rFonts w:ascii="Arial" w:hAnsi="Arial" w:cs="Arial"/>
          <w:sz w:val="20"/>
          <w:szCs w:val="20"/>
        </w:rPr>
        <w:t xml:space="preserve"> </w:t>
      </w:r>
      <w:r w:rsidR="000372B4" w:rsidRPr="0034068D">
        <w:rPr>
          <w:rFonts w:ascii="Arial" w:hAnsi="Arial" w:cs="Arial"/>
          <w:sz w:val="20"/>
          <w:szCs w:val="20"/>
        </w:rPr>
        <w:t xml:space="preserve">in relation </w:t>
      </w:r>
      <w:r w:rsidR="00C31D69">
        <w:rPr>
          <w:rFonts w:ascii="Arial" w:hAnsi="Arial" w:cs="Arial"/>
          <w:sz w:val="20"/>
          <w:szCs w:val="20"/>
        </w:rPr>
        <w:t>to</w:t>
      </w:r>
      <w:r w:rsidR="00C31D69" w:rsidRPr="0034068D">
        <w:rPr>
          <w:rFonts w:ascii="Arial" w:hAnsi="Arial" w:cs="Arial"/>
          <w:sz w:val="20"/>
          <w:szCs w:val="20"/>
        </w:rPr>
        <w:t xml:space="preserve"> </w:t>
      </w:r>
      <w:r w:rsidR="000372B4" w:rsidRPr="0034068D">
        <w:rPr>
          <w:rFonts w:ascii="Arial" w:hAnsi="Arial" w:cs="Arial"/>
          <w:sz w:val="20"/>
          <w:szCs w:val="20"/>
        </w:rPr>
        <w:t xml:space="preserve">reinforcement, </w:t>
      </w:r>
      <w:r w:rsidR="00C31D69">
        <w:rPr>
          <w:rFonts w:ascii="Arial" w:hAnsi="Arial" w:cs="Arial"/>
          <w:sz w:val="20"/>
          <w:szCs w:val="20"/>
        </w:rPr>
        <w:t xml:space="preserve">an </w:t>
      </w:r>
      <w:r w:rsidR="000372B4" w:rsidRPr="0034068D">
        <w:rPr>
          <w:rFonts w:ascii="Arial" w:hAnsi="Arial" w:cs="Arial"/>
          <w:sz w:val="20"/>
          <w:szCs w:val="20"/>
        </w:rPr>
        <w:t>area that is also linked with proposal</w:t>
      </w:r>
      <w:r w:rsidR="00EF0144" w:rsidRPr="0034068D">
        <w:rPr>
          <w:rFonts w:ascii="Arial" w:hAnsi="Arial" w:cs="Arial"/>
          <w:sz w:val="20"/>
          <w:szCs w:val="20"/>
        </w:rPr>
        <w:t>s</w:t>
      </w:r>
      <w:r w:rsidR="000372B4" w:rsidRPr="0034068D">
        <w:rPr>
          <w:rFonts w:ascii="Arial" w:hAnsi="Arial" w:cs="Arial"/>
          <w:sz w:val="20"/>
          <w:szCs w:val="20"/>
        </w:rPr>
        <w:t xml:space="preserve"> on connection boundary </w:t>
      </w:r>
      <w:r w:rsidR="00EF0144" w:rsidRPr="0034068D">
        <w:rPr>
          <w:rFonts w:ascii="Arial" w:hAnsi="Arial" w:cs="Arial"/>
          <w:sz w:val="20"/>
          <w:szCs w:val="20"/>
        </w:rPr>
        <w:t xml:space="preserve">from </w:t>
      </w:r>
      <w:r w:rsidR="000372B4" w:rsidRPr="0034068D">
        <w:rPr>
          <w:rFonts w:ascii="Arial" w:hAnsi="Arial" w:cs="Arial"/>
          <w:sz w:val="20"/>
          <w:szCs w:val="20"/>
        </w:rPr>
        <w:t xml:space="preserve">the </w:t>
      </w:r>
      <w:r w:rsidR="00EF0144" w:rsidRPr="0034068D">
        <w:rPr>
          <w:rFonts w:ascii="Arial" w:hAnsi="Arial" w:cs="Arial"/>
          <w:sz w:val="20"/>
          <w:szCs w:val="20"/>
        </w:rPr>
        <w:t xml:space="preserve">recent </w:t>
      </w:r>
      <w:r w:rsidR="000372B4" w:rsidRPr="0034068D">
        <w:rPr>
          <w:rFonts w:ascii="Arial" w:hAnsi="Arial" w:cs="Arial"/>
          <w:sz w:val="20"/>
          <w:szCs w:val="20"/>
        </w:rPr>
        <w:t xml:space="preserve">Access SCR. </w:t>
      </w:r>
      <w:r w:rsidR="001A3C7A" w:rsidRPr="0034068D">
        <w:rPr>
          <w:rFonts w:ascii="Arial" w:hAnsi="Arial" w:cs="Arial"/>
          <w:sz w:val="20"/>
          <w:szCs w:val="20"/>
        </w:rPr>
        <w:t>As mentioned previously, t</w:t>
      </w:r>
      <w:r w:rsidR="000372B4" w:rsidRPr="0034068D">
        <w:rPr>
          <w:rFonts w:ascii="Arial" w:hAnsi="Arial" w:cs="Arial"/>
          <w:sz w:val="20"/>
          <w:szCs w:val="20"/>
        </w:rPr>
        <w:t>hese a</w:t>
      </w:r>
      <w:r w:rsidR="00EF0144" w:rsidRPr="0034068D">
        <w:rPr>
          <w:rFonts w:ascii="Arial" w:hAnsi="Arial" w:cs="Arial"/>
          <w:sz w:val="20"/>
          <w:szCs w:val="20"/>
        </w:rPr>
        <w:t xml:space="preserve">reas </w:t>
      </w:r>
      <w:r w:rsidR="000372B4" w:rsidRPr="0034068D">
        <w:rPr>
          <w:rFonts w:ascii="Arial" w:hAnsi="Arial" w:cs="Arial"/>
          <w:sz w:val="20"/>
          <w:szCs w:val="20"/>
        </w:rPr>
        <w:t xml:space="preserve">need to be considered very careful in </w:t>
      </w:r>
      <w:r w:rsidR="00C31D69">
        <w:rPr>
          <w:rFonts w:ascii="Arial" w:hAnsi="Arial" w:cs="Arial"/>
          <w:sz w:val="20"/>
          <w:szCs w:val="20"/>
        </w:rPr>
        <w:t xml:space="preserve">the </w:t>
      </w:r>
      <w:r w:rsidR="000372B4" w:rsidRPr="0034068D">
        <w:rPr>
          <w:rFonts w:ascii="Arial" w:hAnsi="Arial" w:cs="Arial"/>
          <w:sz w:val="20"/>
          <w:szCs w:val="20"/>
        </w:rPr>
        <w:t xml:space="preserve">Ofgem review as </w:t>
      </w:r>
      <w:r w:rsidR="001A3C7A" w:rsidRPr="0034068D">
        <w:rPr>
          <w:rFonts w:ascii="Arial" w:hAnsi="Arial" w:cs="Arial"/>
          <w:sz w:val="20"/>
          <w:szCs w:val="20"/>
        </w:rPr>
        <w:t xml:space="preserve">any </w:t>
      </w:r>
      <w:r w:rsidR="00EF0144" w:rsidRPr="0034068D">
        <w:rPr>
          <w:rFonts w:ascii="Arial" w:hAnsi="Arial" w:cs="Arial"/>
          <w:sz w:val="20"/>
          <w:szCs w:val="20"/>
        </w:rPr>
        <w:t>wrong</w:t>
      </w:r>
      <w:r w:rsidR="000372B4" w:rsidRPr="0034068D">
        <w:rPr>
          <w:rFonts w:ascii="Arial" w:hAnsi="Arial" w:cs="Arial"/>
          <w:sz w:val="20"/>
          <w:szCs w:val="20"/>
        </w:rPr>
        <w:t xml:space="preserve"> decision </w:t>
      </w:r>
      <w:r w:rsidR="001A3C7A" w:rsidRPr="0034068D">
        <w:rPr>
          <w:rFonts w:ascii="Arial" w:hAnsi="Arial" w:cs="Arial"/>
          <w:sz w:val="20"/>
          <w:szCs w:val="20"/>
        </w:rPr>
        <w:t>could</w:t>
      </w:r>
      <w:r w:rsidR="000372B4" w:rsidRPr="0034068D">
        <w:rPr>
          <w:rFonts w:ascii="Arial" w:hAnsi="Arial" w:cs="Arial"/>
          <w:sz w:val="20"/>
          <w:szCs w:val="20"/>
        </w:rPr>
        <w:t xml:space="preserve"> </w:t>
      </w:r>
      <w:r w:rsidR="001A3C7A" w:rsidRPr="0034068D">
        <w:rPr>
          <w:rFonts w:ascii="Arial" w:hAnsi="Arial" w:cs="Arial"/>
          <w:sz w:val="20"/>
          <w:szCs w:val="20"/>
        </w:rPr>
        <w:t>end up delaying</w:t>
      </w:r>
      <w:r w:rsidR="000372B4" w:rsidRPr="0034068D">
        <w:rPr>
          <w:rFonts w:ascii="Arial" w:hAnsi="Arial" w:cs="Arial"/>
          <w:sz w:val="20"/>
          <w:szCs w:val="20"/>
        </w:rPr>
        <w:t xml:space="preserve"> the roll out </w:t>
      </w:r>
      <w:r w:rsidR="00EF0144" w:rsidRPr="0034068D">
        <w:rPr>
          <w:rFonts w:ascii="Arial" w:hAnsi="Arial" w:cs="Arial"/>
          <w:sz w:val="20"/>
          <w:szCs w:val="20"/>
        </w:rPr>
        <w:t>of low carbon technologies</w:t>
      </w:r>
      <w:r w:rsidR="001A3C7A" w:rsidRPr="0034068D">
        <w:rPr>
          <w:rFonts w:ascii="Arial" w:hAnsi="Arial" w:cs="Arial"/>
          <w:sz w:val="20"/>
          <w:szCs w:val="20"/>
        </w:rPr>
        <w:t>.</w:t>
      </w:r>
    </w:p>
    <w:p w14:paraId="7AA1F25E" w14:textId="77777777" w:rsidR="000352FE" w:rsidRPr="0034068D" w:rsidRDefault="000352FE" w:rsidP="000352FE">
      <w:pPr>
        <w:pStyle w:val="ListParagraph"/>
        <w:jc w:val="both"/>
        <w:rPr>
          <w:rFonts w:cs="Arial"/>
          <w:b/>
          <w:bCs/>
          <w:sz w:val="20"/>
          <w:szCs w:val="20"/>
        </w:rPr>
      </w:pPr>
    </w:p>
    <w:p w14:paraId="09E982B4" w14:textId="77777777" w:rsidR="000352FE" w:rsidRPr="0034068D" w:rsidRDefault="000352FE" w:rsidP="000352FE">
      <w:pPr>
        <w:pStyle w:val="ListParagraph"/>
        <w:numPr>
          <w:ilvl w:val="0"/>
          <w:numId w:val="48"/>
        </w:numPr>
        <w:jc w:val="both"/>
        <w:rPr>
          <w:rFonts w:cs="Arial"/>
          <w:b/>
          <w:bCs/>
          <w:sz w:val="20"/>
          <w:szCs w:val="20"/>
        </w:rPr>
      </w:pPr>
      <w:r w:rsidRPr="0034068D">
        <w:rPr>
          <w:rFonts w:cs="Arial"/>
          <w:b/>
          <w:bCs/>
          <w:sz w:val="20"/>
          <w:szCs w:val="20"/>
        </w:rPr>
        <w:t>Have we considered all the impacts of a phased approach to delivering the original scope Access SCR?</w:t>
      </w:r>
    </w:p>
    <w:p w14:paraId="35802E6B" w14:textId="1BD51124" w:rsidR="00CB1B54" w:rsidRPr="0034068D" w:rsidRDefault="00CB1B54" w:rsidP="000C5575">
      <w:pPr>
        <w:jc w:val="both"/>
        <w:rPr>
          <w:rFonts w:ascii="Arial" w:hAnsi="Arial" w:cs="Arial"/>
          <w:sz w:val="20"/>
          <w:szCs w:val="20"/>
        </w:rPr>
      </w:pPr>
      <w:r w:rsidRPr="0034068D">
        <w:rPr>
          <w:rFonts w:ascii="Arial" w:hAnsi="Arial" w:cs="Arial"/>
          <w:sz w:val="20"/>
          <w:szCs w:val="20"/>
        </w:rPr>
        <w:t>Understanding that a phase</w:t>
      </w:r>
      <w:r w:rsidR="00016A4F">
        <w:rPr>
          <w:rFonts w:ascii="Arial" w:hAnsi="Arial" w:cs="Arial"/>
          <w:sz w:val="20"/>
          <w:szCs w:val="20"/>
        </w:rPr>
        <w:t>d</w:t>
      </w:r>
      <w:r w:rsidRPr="0034068D">
        <w:rPr>
          <w:rFonts w:ascii="Arial" w:hAnsi="Arial" w:cs="Arial"/>
          <w:sz w:val="20"/>
          <w:szCs w:val="20"/>
        </w:rPr>
        <w:t xml:space="preserve"> approach will mean:</w:t>
      </w:r>
    </w:p>
    <w:p w14:paraId="12720913" w14:textId="2BFAB1C1" w:rsidR="00CB1B54" w:rsidRPr="0034068D" w:rsidRDefault="00CB1B54" w:rsidP="00CB1B54">
      <w:pPr>
        <w:jc w:val="both"/>
        <w:rPr>
          <w:rFonts w:ascii="Arial" w:hAnsi="Arial" w:cs="Arial"/>
          <w:sz w:val="20"/>
          <w:szCs w:val="20"/>
        </w:rPr>
      </w:pPr>
      <w:r w:rsidRPr="0034068D">
        <w:rPr>
          <w:rFonts w:ascii="Arial" w:hAnsi="Arial" w:cs="Arial"/>
          <w:b/>
          <w:bCs/>
          <w:sz w:val="20"/>
          <w:szCs w:val="20"/>
          <w:lang w:val="en-US"/>
        </w:rPr>
        <w:t xml:space="preserve">Phase 1: </w:t>
      </w:r>
      <w:r w:rsidRPr="0034068D">
        <w:rPr>
          <w:rFonts w:ascii="Arial" w:hAnsi="Arial" w:cs="Arial"/>
          <w:sz w:val="20"/>
          <w:szCs w:val="20"/>
          <w:lang w:val="en-US"/>
        </w:rPr>
        <w:t xml:space="preserve">Connection boundary and access rights (2023 implementation), and focused review of transmission network charges (where progression is subject to the Call for Evidence and relevant next steps which Ofgem expect to announce over the winter) </w:t>
      </w:r>
    </w:p>
    <w:p w14:paraId="3BD2E802" w14:textId="77777777" w:rsidR="00CB1B54" w:rsidRPr="0034068D" w:rsidRDefault="00CB1B54" w:rsidP="00CB1B54">
      <w:pPr>
        <w:jc w:val="both"/>
        <w:rPr>
          <w:rFonts w:ascii="Arial" w:hAnsi="Arial" w:cs="Arial"/>
          <w:sz w:val="20"/>
          <w:szCs w:val="20"/>
        </w:rPr>
      </w:pPr>
      <w:r w:rsidRPr="0034068D">
        <w:rPr>
          <w:rFonts w:ascii="Arial" w:hAnsi="Arial" w:cs="Arial"/>
          <w:b/>
          <w:bCs/>
          <w:sz w:val="20"/>
          <w:szCs w:val="20"/>
          <w:lang w:val="en-US"/>
        </w:rPr>
        <w:t xml:space="preserve">Phase 2: </w:t>
      </w:r>
      <w:r w:rsidRPr="0034068D">
        <w:rPr>
          <w:rFonts w:ascii="Arial" w:hAnsi="Arial" w:cs="Arial"/>
          <w:sz w:val="20"/>
          <w:szCs w:val="20"/>
          <w:lang w:val="en-US"/>
        </w:rPr>
        <w:t xml:space="preserve">Wide ranging review of DUoS (post-2023 implementation) </w:t>
      </w:r>
    </w:p>
    <w:p w14:paraId="0585F50F" w14:textId="301C21DE" w:rsidR="007C0441" w:rsidRPr="0034068D" w:rsidRDefault="000101DE" w:rsidP="000C5575">
      <w:pPr>
        <w:jc w:val="both"/>
        <w:rPr>
          <w:rFonts w:ascii="Arial" w:hAnsi="Arial" w:cs="Arial"/>
          <w:sz w:val="20"/>
          <w:szCs w:val="20"/>
        </w:rPr>
      </w:pPr>
      <w:r w:rsidRPr="000101DE">
        <w:rPr>
          <w:rFonts w:ascii="Arial" w:hAnsi="Arial" w:cs="Arial"/>
          <w:sz w:val="20"/>
          <w:szCs w:val="20"/>
        </w:rPr>
        <w:t xml:space="preserve">We think there is an important impact that must be considered concerning </w:t>
      </w:r>
      <w:r w:rsidR="00B35F5D">
        <w:rPr>
          <w:rFonts w:ascii="Arial" w:hAnsi="Arial" w:cs="Arial"/>
          <w:sz w:val="20"/>
          <w:szCs w:val="20"/>
        </w:rPr>
        <w:t>P</w:t>
      </w:r>
      <w:r w:rsidRPr="000101DE">
        <w:rPr>
          <w:rFonts w:ascii="Arial" w:hAnsi="Arial" w:cs="Arial"/>
          <w:sz w:val="20"/>
          <w:szCs w:val="20"/>
        </w:rPr>
        <w:t>hase 1</w:t>
      </w:r>
      <w:r>
        <w:rPr>
          <w:rFonts w:ascii="Arial" w:hAnsi="Arial" w:cs="Arial"/>
          <w:sz w:val="20"/>
          <w:szCs w:val="20"/>
        </w:rPr>
        <w:t>. W</w:t>
      </w:r>
      <w:r w:rsidR="00C66E54" w:rsidRPr="0034068D">
        <w:rPr>
          <w:rFonts w:ascii="Arial" w:hAnsi="Arial" w:cs="Arial"/>
          <w:sz w:val="20"/>
          <w:szCs w:val="20"/>
        </w:rPr>
        <w:t xml:space="preserve">hen we responded to the recent Access SCR consultation, we </w:t>
      </w:r>
      <w:r w:rsidR="009E5737">
        <w:rPr>
          <w:rFonts w:ascii="Arial" w:hAnsi="Arial" w:cs="Arial"/>
          <w:sz w:val="20"/>
          <w:szCs w:val="20"/>
        </w:rPr>
        <w:t>highlighted</w:t>
      </w:r>
      <w:r w:rsidR="00C66E54" w:rsidRPr="0034068D">
        <w:rPr>
          <w:rFonts w:ascii="Arial" w:hAnsi="Arial" w:cs="Arial"/>
          <w:sz w:val="20"/>
          <w:szCs w:val="20"/>
        </w:rPr>
        <w:t xml:space="preserve"> that </w:t>
      </w:r>
      <w:r w:rsidR="00C637F7" w:rsidRPr="0034068D">
        <w:rPr>
          <w:rFonts w:ascii="Arial" w:hAnsi="Arial" w:cs="Arial"/>
          <w:sz w:val="20"/>
          <w:szCs w:val="20"/>
        </w:rPr>
        <w:t xml:space="preserve">the quantitative analysis </w:t>
      </w:r>
      <w:r w:rsidR="0053504F" w:rsidRPr="0034068D">
        <w:rPr>
          <w:rFonts w:ascii="Arial" w:hAnsi="Arial" w:cs="Arial"/>
          <w:sz w:val="20"/>
          <w:szCs w:val="20"/>
        </w:rPr>
        <w:t>that</w:t>
      </w:r>
      <w:r w:rsidR="00C637F7" w:rsidRPr="0034068D">
        <w:rPr>
          <w:rFonts w:ascii="Arial" w:hAnsi="Arial" w:cs="Arial"/>
          <w:sz w:val="20"/>
          <w:szCs w:val="20"/>
        </w:rPr>
        <w:t xml:space="preserve"> assess</w:t>
      </w:r>
      <w:r w:rsidR="00016A4F">
        <w:rPr>
          <w:rFonts w:ascii="Arial" w:hAnsi="Arial" w:cs="Arial"/>
          <w:sz w:val="20"/>
          <w:szCs w:val="20"/>
        </w:rPr>
        <w:t>ed</w:t>
      </w:r>
      <w:r w:rsidR="00C637F7" w:rsidRPr="0034068D">
        <w:rPr>
          <w:rFonts w:ascii="Arial" w:hAnsi="Arial" w:cs="Arial"/>
          <w:sz w:val="20"/>
          <w:szCs w:val="20"/>
        </w:rPr>
        <w:t xml:space="preserve"> the option of applying TNUoS charges to SDG had</w:t>
      </w:r>
      <w:r w:rsidR="00C66E54" w:rsidRPr="0034068D">
        <w:rPr>
          <w:rFonts w:ascii="Arial" w:hAnsi="Arial" w:cs="Arial"/>
          <w:sz w:val="20"/>
          <w:szCs w:val="20"/>
        </w:rPr>
        <w:t xml:space="preserve"> significant flaws</w:t>
      </w:r>
      <w:r w:rsidR="0053504F" w:rsidRPr="0034068D">
        <w:rPr>
          <w:rFonts w:ascii="Arial" w:hAnsi="Arial" w:cs="Arial"/>
          <w:sz w:val="20"/>
          <w:szCs w:val="20"/>
        </w:rPr>
        <w:t>,</w:t>
      </w:r>
      <w:r w:rsidR="00C66E54" w:rsidRPr="0034068D">
        <w:rPr>
          <w:rFonts w:ascii="Arial" w:hAnsi="Arial" w:cs="Arial"/>
          <w:sz w:val="20"/>
          <w:szCs w:val="20"/>
        </w:rPr>
        <w:t xml:space="preserve"> which we fe</w:t>
      </w:r>
      <w:r w:rsidR="00C637F7" w:rsidRPr="0034068D">
        <w:rPr>
          <w:rFonts w:ascii="Arial" w:hAnsi="Arial" w:cs="Arial"/>
          <w:sz w:val="20"/>
          <w:szCs w:val="20"/>
        </w:rPr>
        <w:t>lt</w:t>
      </w:r>
      <w:r w:rsidR="00C66E54" w:rsidRPr="0034068D">
        <w:rPr>
          <w:rFonts w:ascii="Arial" w:hAnsi="Arial" w:cs="Arial"/>
          <w:sz w:val="20"/>
          <w:szCs w:val="20"/>
        </w:rPr>
        <w:t xml:space="preserve"> need</w:t>
      </w:r>
      <w:r w:rsidR="00C637F7" w:rsidRPr="0034068D">
        <w:rPr>
          <w:rFonts w:ascii="Arial" w:hAnsi="Arial" w:cs="Arial"/>
          <w:sz w:val="20"/>
          <w:szCs w:val="20"/>
        </w:rPr>
        <w:t>ed</w:t>
      </w:r>
      <w:r w:rsidR="00C66E54" w:rsidRPr="0034068D">
        <w:rPr>
          <w:rFonts w:ascii="Arial" w:hAnsi="Arial" w:cs="Arial"/>
          <w:sz w:val="20"/>
          <w:szCs w:val="20"/>
        </w:rPr>
        <w:t xml:space="preserve"> to be addressed to gain comfort that there </w:t>
      </w:r>
      <w:r w:rsidR="00C637F7" w:rsidRPr="0034068D">
        <w:rPr>
          <w:rFonts w:ascii="Arial" w:hAnsi="Arial" w:cs="Arial"/>
          <w:sz w:val="20"/>
          <w:szCs w:val="20"/>
        </w:rPr>
        <w:t>was</w:t>
      </w:r>
      <w:r w:rsidR="00C66E54" w:rsidRPr="0034068D">
        <w:rPr>
          <w:rFonts w:ascii="Arial" w:hAnsi="Arial" w:cs="Arial"/>
          <w:sz w:val="20"/>
          <w:szCs w:val="20"/>
        </w:rPr>
        <w:t xml:space="preserve"> an overall net benefit.</w:t>
      </w:r>
      <w:r w:rsidR="00C637F7" w:rsidRPr="0034068D">
        <w:rPr>
          <w:rFonts w:ascii="Arial" w:hAnsi="Arial" w:cs="Arial"/>
          <w:sz w:val="20"/>
          <w:szCs w:val="20"/>
        </w:rPr>
        <w:t xml:space="preserve"> W</w:t>
      </w:r>
      <w:r w:rsidR="007C0441" w:rsidRPr="0034068D">
        <w:rPr>
          <w:rFonts w:ascii="Arial" w:hAnsi="Arial" w:cs="Arial"/>
          <w:sz w:val="20"/>
          <w:szCs w:val="20"/>
        </w:rPr>
        <w:t xml:space="preserve">e noted that </w:t>
      </w:r>
      <w:r w:rsidR="00C637F7" w:rsidRPr="0034068D">
        <w:rPr>
          <w:rFonts w:ascii="Arial" w:hAnsi="Arial" w:cs="Arial"/>
          <w:sz w:val="20"/>
          <w:szCs w:val="20"/>
        </w:rPr>
        <w:t xml:space="preserve">in the analysis, </w:t>
      </w:r>
      <w:r w:rsidR="007C0441" w:rsidRPr="0034068D">
        <w:rPr>
          <w:rFonts w:ascii="Arial" w:hAnsi="Arial" w:cs="Arial"/>
          <w:sz w:val="20"/>
          <w:szCs w:val="20"/>
        </w:rPr>
        <w:t>Ofgem ignored many variables that a renewable planning system needs. Consequently, the proposal was based on a cost analysis that d</w:t>
      </w:r>
      <w:r w:rsidR="00CB1B54" w:rsidRPr="0034068D">
        <w:rPr>
          <w:rFonts w:ascii="Arial" w:hAnsi="Arial" w:cs="Arial"/>
          <w:sz w:val="20"/>
          <w:szCs w:val="20"/>
        </w:rPr>
        <w:t>id</w:t>
      </w:r>
      <w:r w:rsidR="007C0441" w:rsidRPr="0034068D">
        <w:rPr>
          <w:rFonts w:ascii="Arial" w:hAnsi="Arial" w:cs="Arial"/>
          <w:sz w:val="20"/>
          <w:szCs w:val="20"/>
        </w:rPr>
        <w:t xml:space="preserve"> not reflect the complexity of the energy planning network. The detail of this information can be seen in Annex 1.</w:t>
      </w:r>
    </w:p>
    <w:p w14:paraId="6D715AA7" w14:textId="4004D9FF" w:rsidR="00FC6C5F" w:rsidRPr="0034068D" w:rsidRDefault="00417843" w:rsidP="000C5575">
      <w:pPr>
        <w:jc w:val="both"/>
        <w:rPr>
          <w:rFonts w:ascii="Arial" w:hAnsi="Arial" w:cs="Arial"/>
          <w:sz w:val="20"/>
          <w:szCs w:val="20"/>
        </w:rPr>
      </w:pPr>
      <w:r w:rsidRPr="0034068D">
        <w:rPr>
          <w:rFonts w:ascii="Arial" w:hAnsi="Arial" w:cs="Arial"/>
          <w:sz w:val="20"/>
          <w:szCs w:val="20"/>
        </w:rPr>
        <w:t xml:space="preserve">We think that </w:t>
      </w:r>
      <w:r w:rsidR="00101559" w:rsidRPr="0034068D">
        <w:rPr>
          <w:rFonts w:ascii="Arial" w:hAnsi="Arial" w:cs="Arial"/>
          <w:sz w:val="20"/>
          <w:szCs w:val="20"/>
        </w:rPr>
        <w:t>in light of this new phase</w:t>
      </w:r>
      <w:r w:rsidR="00016A4F">
        <w:rPr>
          <w:rFonts w:ascii="Arial" w:hAnsi="Arial" w:cs="Arial"/>
          <w:sz w:val="20"/>
          <w:szCs w:val="20"/>
        </w:rPr>
        <w:t>d</w:t>
      </w:r>
      <w:r w:rsidR="00101559" w:rsidRPr="0034068D">
        <w:rPr>
          <w:rFonts w:ascii="Arial" w:hAnsi="Arial" w:cs="Arial"/>
          <w:sz w:val="20"/>
          <w:szCs w:val="20"/>
        </w:rPr>
        <w:t xml:space="preserve"> approach and the review of </w:t>
      </w:r>
      <w:r w:rsidR="0091628C" w:rsidRPr="0034068D">
        <w:rPr>
          <w:rFonts w:ascii="Arial" w:hAnsi="Arial" w:cs="Arial"/>
          <w:sz w:val="20"/>
          <w:szCs w:val="20"/>
        </w:rPr>
        <w:t xml:space="preserve">TNUoS charges, </w:t>
      </w:r>
      <w:r w:rsidRPr="0034068D">
        <w:rPr>
          <w:rFonts w:ascii="Arial" w:hAnsi="Arial" w:cs="Arial"/>
          <w:sz w:val="20"/>
          <w:szCs w:val="20"/>
        </w:rPr>
        <w:t>Ofgem need</w:t>
      </w:r>
      <w:r w:rsidR="0091628C" w:rsidRPr="0034068D">
        <w:rPr>
          <w:rFonts w:ascii="Arial" w:hAnsi="Arial" w:cs="Arial"/>
          <w:sz w:val="20"/>
          <w:szCs w:val="20"/>
        </w:rPr>
        <w:t>s</w:t>
      </w:r>
      <w:r w:rsidRPr="0034068D">
        <w:rPr>
          <w:rFonts w:ascii="Arial" w:hAnsi="Arial" w:cs="Arial"/>
          <w:sz w:val="20"/>
          <w:szCs w:val="20"/>
        </w:rPr>
        <w:t xml:space="preserve"> to review </w:t>
      </w:r>
      <w:r w:rsidR="000101DE">
        <w:rPr>
          <w:rFonts w:ascii="Arial" w:hAnsi="Arial" w:cs="Arial"/>
          <w:sz w:val="20"/>
          <w:szCs w:val="20"/>
        </w:rPr>
        <w:t xml:space="preserve">the </w:t>
      </w:r>
      <w:r w:rsidRPr="0034068D">
        <w:rPr>
          <w:rFonts w:ascii="Arial" w:hAnsi="Arial" w:cs="Arial"/>
          <w:sz w:val="20"/>
          <w:szCs w:val="20"/>
        </w:rPr>
        <w:t xml:space="preserve">quantitative analysis of the recent Access SCR and </w:t>
      </w:r>
      <w:r w:rsidR="00101559" w:rsidRPr="0034068D">
        <w:rPr>
          <w:rFonts w:ascii="Arial" w:hAnsi="Arial" w:cs="Arial"/>
          <w:sz w:val="20"/>
          <w:szCs w:val="20"/>
        </w:rPr>
        <w:t>update</w:t>
      </w:r>
      <w:r w:rsidRPr="0034068D">
        <w:rPr>
          <w:rFonts w:ascii="Arial" w:hAnsi="Arial" w:cs="Arial"/>
          <w:sz w:val="20"/>
          <w:szCs w:val="20"/>
        </w:rPr>
        <w:t xml:space="preserve"> it</w:t>
      </w:r>
      <w:r w:rsidR="0091628C" w:rsidRPr="0034068D">
        <w:rPr>
          <w:rFonts w:ascii="Arial" w:hAnsi="Arial" w:cs="Arial"/>
          <w:sz w:val="20"/>
          <w:szCs w:val="20"/>
        </w:rPr>
        <w:t xml:space="preserve"> before confirming the </w:t>
      </w:r>
      <w:r w:rsidR="0091628C" w:rsidRPr="0034068D">
        <w:rPr>
          <w:rFonts w:ascii="Arial" w:hAnsi="Arial" w:cs="Arial"/>
          <w:sz w:val="20"/>
          <w:szCs w:val="20"/>
        </w:rPr>
        <w:lastRenderedPageBreak/>
        <w:t>implementation of TNUoS charges for SDG. We think there is a strong case to review</w:t>
      </w:r>
      <w:r w:rsidRPr="0034068D">
        <w:rPr>
          <w:rFonts w:ascii="Arial" w:hAnsi="Arial" w:cs="Arial"/>
          <w:sz w:val="20"/>
          <w:szCs w:val="20"/>
        </w:rPr>
        <w:t xml:space="preserve"> the net benefit impact of</w:t>
      </w:r>
      <w:r w:rsidR="0091628C" w:rsidRPr="0034068D">
        <w:rPr>
          <w:rFonts w:ascii="Arial" w:hAnsi="Arial" w:cs="Arial"/>
          <w:sz w:val="20"/>
          <w:szCs w:val="20"/>
        </w:rPr>
        <w:t xml:space="preserve"> the Access SCR</w:t>
      </w:r>
      <w:r w:rsidRPr="0034068D">
        <w:rPr>
          <w:rFonts w:ascii="Arial" w:hAnsi="Arial" w:cs="Arial"/>
          <w:sz w:val="20"/>
          <w:szCs w:val="20"/>
        </w:rPr>
        <w:t xml:space="preserve"> </w:t>
      </w:r>
      <w:r w:rsidR="0091628C" w:rsidRPr="0034068D">
        <w:rPr>
          <w:rFonts w:ascii="Arial" w:hAnsi="Arial" w:cs="Arial"/>
          <w:sz w:val="20"/>
          <w:szCs w:val="20"/>
        </w:rPr>
        <w:t xml:space="preserve">which </w:t>
      </w:r>
      <w:r w:rsidR="000B6F82" w:rsidRPr="0034068D">
        <w:rPr>
          <w:rFonts w:ascii="Arial" w:hAnsi="Arial" w:cs="Arial"/>
          <w:sz w:val="20"/>
          <w:szCs w:val="20"/>
        </w:rPr>
        <w:t>may change the overall outcome</w:t>
      </w:r>
      <w:r w:rsidR="0091628C" w:rsidRPr="0034068D">
        <w:rPr>
          <w:rFonts w:ascii="Arial" w:hAnsi="Arial" w:cs="Arial"/>
          <w:sz w:val="20"/>
          <w:szCs w:val="20"/>
        </w:rPr>
        <w:t xml:space="preserve"> of the </w:t>
      </w:r>
      <w:r w:rsidR="00614D80" w:rsidRPr="0034068D">
        <w:rPr>
          <w:rFonts w:ascii="Arial" w:hAnsi="Arial" w:cs="Arial"/>
          <w:sz w:val="20"/>
          <w:szCs w:val="20"/>
        </w:rPr>
        <w:t>proposal.</w:t>
      </w:r>
    </w:p>
    <w:p w14:paraId="5E47DB2D" w14:textId="77777777" w:rsidR="000352FE" w:rsidRPr="0034068D" w:rsidRDefault="000352FE" w:rsidP="000352FE">
      <w:pPr>
        <w:pStyle w:val="ListParagraph"/>
        <w:jc w:val="both"/>
        <w:rPr>
          <w:rFonts w:cs="Arial"/>
          <w:b/>
          <w:bCs/>
          <w:sz w:val="20"/>
          <w:szCs w:val="20"/>
        </w:rPr>
      </w:pPr>
    </w:p>
    <w:p w14:paraId="1BF4AF6D" w14:textId="77777777" w:rsidR="000352FE" w:rsidRPr="0034068D" w:rsidRDefault="000352FE" w:rsidP="000352FE">
      <w:pPr>
        <w:pStyle w:val="ListParagraph"/>
        <w:numPr>
          <w:ilvl w:val="0"/>
          <w:numId w:val="48"/>
        </w:numPr>
        <w:jc w:val="both"/>
        <w:rPr>
          <w:rFonts w:cs="Arial"/>
          <w:b/>
          <w:bCs/>
          <w:sz w:val="20"/>
          <w:szCs w:val="20"/>
        </w:rPr>
      </w:pPr>
      <w:r w:rsidRPr="0034068D">
        <w:rPr>
          <w:rFonts w:cs="Arial"/>
          <w:b/>
          <w:bCs/>
          <w:sz w:val="20"/>
          <w:szCs w:val="20"/>
        </w:rPr>
        <w:t>Do you have any views on our proposal to retain the scope and governance arrangements of the original Access SCR?</w:t>
      </w:r>
    </w:p>
    <w:p w14:paraId="14FAB840" w14:textId="3013C6F4" w:rsidR="000352FE" w:rsidRPr="0034068D" w:rsidRDefault="005C6D2E" w:rsidP="00D432EA">
      <w:pPr>
        <w:jc w:val="both"/>
        <w:rPr>
          <w:rFonts w:ascii="Arial" w:hAnsi="Arial" w:cs="Arial"/>
          <w:sz w:val="20"/>
          <w:szCs w:val="20"/>
        </w:rPr>
      </w:pPr>
      <w:r w:rsidRPr="0034068D">
        <w:rPr>
          <w:rFonts w:ascii="Arial" w:hAnsi="Arial" w:cs="Arial"/>
          <w:sz w:val="20"/>
          <w:szCs w:val="20"/>
        </w:rPr>
        <w:t>If this question refers to retain</w:t>
      </w:r>
      <w:r w:rsidR="00C056CD">
        <w:rPr>
          <w:rFonts w:ascii="Arial" w:hAnsi="Arial" w:cs="Arial"/>
          <w:sz w:val="20"/>
          <w:szCs w:val="20"/>
        </w:rPr>
        <w:t>ing</w:t>
      </w:r>
      <w:r w:rsidRPr="0034068D">
        <w:rPr>
          <w:rFonts w:ascii="Arial" w:hAnsi="Arial" w:cs="Arial"/>
          <w:sz w:val="20"/>
          <w:szCs w:val="20"/>
        </w:rPr>
        <w:t xml:space="preserve"> the scope and governance arrangement of the original SCR in the new DUoS SCR</w:t>
      </w:r>
      <w:r w:rsidR="00E113E9" w:rsidRPr="0034068D">
        <w:rPr>
          <w:rFonts w:ascii="Arial" w:hAnsi="Arial" w:cs="Arial"/>
          <w:sz w:val="20"/>
          <w:szCs w:val="20"/>
        </w:rPr>
        <w:t xml:space="preserve"> our answer is yes. </w:t>
      </w:r>
      <w:r w:rsidR="00614D80" w:rsidRPr="0034068D">
        <w:rPr>
          <w:rFonts w:ascii="Arial" w:hAnsi="Arial" w:cs="Arial"/>
          <w:sz w:val="20"/>
          <w:szCs w:val="20"/>
        </w:rPr>
        <w:t>However, as mentioned previously w</w:t>
      </w:r>
      <w:r w:rsidR="00E113E9" w:rsidRPr="0034068D">
        <w:rPr>
          <w:rFonts w:ascii="Arial" w:hAnsi="Arial" w:cs="Arial"/>
          <w:sz w:val="20"/>
          <w:szCs w:val="20"/>
        </w:rPr>
        <w:t xml:space="preserve">e would </w:t>
      </w:r>
      <w:r w:rsidR="006F7192" w:rsidRPr="0034068D">
        <w:rPr>
          <w:rFonts w:ascii="Arial" w:hAnsi="Arial" w:cs="Arial"/>
          <w:sz w:val="20"/>
          <w:szCs w:val="20"/>
        </w:rPr>
        <w:t xml:space="preserve">also </w:t>
      </w:r>
      <w:r w:rsidR="00E113E9" w:rsidRPr="0034068D">
        <w:rPr>
          <w:rFonts w:ascii="Arial" w:hAnsi="Arial" w:cs="Arial"/>
          <w:sz w:val="20"/>
          <w:szCs w:val="20"/>
        </w:rPr>
        <w:t xml:space="preserve">like to see that Ofgem </w:t>
      </w:r>
      <w:r w:rsidR="006F7192" w:rsidRPr="0034068D">
        <w:rPr>
          <w:rFonts w:ascii="Arial" w:hAnsi="Arial" w:cs="Arial"/>
          <w:sz w:val="20"/>
          <w:szCs w:val="20"/>
        </w:rPr>
        <w:t>ensures</w:t>
      </w:r>
      <w:r w:rsidR="00E113E9" w:rsidRPr="0034068D">
        <w:rPr>
          <w:rFonts w:ascii="Arial" w:hAnsi="Arial" w:cs="Arial"/>
          <w:sz w:val="20"/>
          <w:szCs w:val="20"/>
        </w:rPr>
        <w:t xml:space="preserve"> that any outcomes from the SCR are aligned with the strategic priorities from Government.  </w:t>
      </w:r>
    </w:p>
    <w:p w14:paraId="10BF7111" w14:textId="4DD28E5A" w:rsidR="00DB3717" w:rsidRPr="0034068D" w:rsidRDefault="000352FE" w:rsidP="000352FE">
      <w:pPr>
        <w:pStyle w:val="ListParagraph"/>
        <w:numPr>
          <w:ilvl w:val="0"/>
          <w:numId w:val="48"/>
        </w:numPr>
        <w:jc w:val="both"/>
        <w:rPr>
          <w:rFonts w:cs="Arial"/>
          <w:b/>
          <w:bCs/>
          <w:sz w:val="20"/>
          <w:szCs w:val="20"/>
        </w:rPr>
      </w:pPr>
      <w:r w:rsidRPr="0034068D">
        <w:rPr>
          <w:rFonts w:cs="Arial"/>
          <w:b/>
          <w:bCs/>
          <w:sz w:val="20"/>
          <w:szCs w:val="20"/>
        </w:rPr>
        <w:t>Do you have any other information relevant to the subject matter of this consultation that we should consider?</w:t>
      </w:r>
    </w:p>
    <w:p w14:paraId="21AC015E" w14:textId="7CD31B86" w:rsidR="00E113E9" w:rsidRPr="0034068D" w:rsidRDefault="00E113E9" w:rsidP="00D432EA">
      <w:pPr>
        <w:jc w:val="both"/>
        <w:rPr>
          <w:rFonts w:ascii="Arial" w:hAnsi="Arial" w:cs="Arial"/>
          <w:sz w:val="20"/>
          <w:szCs w:val="20"/>
        </w:rPr>
      </w:pPr>
      <w:r w:rsidRPr="0034068D">
        <w:rPr>
          <w:rFonts w:ascii="Arial" w:hAnsi="Arial" w:cs="Arial"/>
          <w:sz w:val="20"/>
          <w:szCs w:val="20"/>
        </w:rPr>
        <w:t>No comments.</w:t>
      </w:r>
    </w:p>
    <w:p w14:paraId="49D3CD1B" w14:textId="66D4AC18" w:rsidR="00001C6B" w:rsidRDefault="00001C6B">
      <w:pPr>
        <w:rPr>
          <w:rFonts w:ascii="Arial" w:hAnsi="Arial" w:cs="Arial"/>
          <w:sz w:val="20"/>
          <w:szCs w:val="20"/>
        </w:rPr>
      </w:pPr>
      <w:r>
        <w:rPr>
          <w:rFonts w:ascii="Arial" w:hAnsi="Arial" w:cs="Arial"/>
          <w:sz w:val="20"/>
          <w:szCs w:val="20"/>
        </w:rPr>
        <w:t>Continued on the following page.</w:t>
      </w:r>
      <w:r>
        <w:rPr>
          <w:rFonts w:ascii="Arial" w:hAnsi="Arial" w:cs="Arial"/>
          <w:sz w:val="20"/>
          <w:szCs w:val="20"/>
        </w:rPr>
        <w:br w:type="page"/>
      </w:r>
    </w:p>
    <w:p w14:paraId="0E3C73EF" w14:textId="77777777" w:rsidR="007C0441" w:rsidRPr="0034068D" w:rsidRDefault="007C0441" w:rsidP="00E113E9">
      <w:pPr>
        <w:ind w:left="360"/>
        <w:jc w:val="both"/>
        <w:rPr>
          <w:rFonts w:ascii="Arial" w:hAnsi="Arial" w:cs="Arial"/>
          <w:sz w:val="20"/>
          <w:szCs w:val="20"/>
        </w:rPr>
      </w:pPr>
    </w:p>
    <w:p w14:paraId="3873746E" w14:textId="1C889E2A" w:rsidR="007C0441" w:rsidRPr="0034068D" w:rsidRDefault="00C637F7" w:rsidP="00614D80">
      <w:pPr>
        <w:rPr>
          <w:rFonts w:ascii="Arial" w:hAnsi="Arial" w:cs="Arial"/>
          <w:b/>
          <w:bCs/>
          <w:sz w:val="24"/>
          <w:szCs w:val="24"/>
        </w:rPr>
      </w:pPr>
      <w:r w:rsidRPr="0034068D">
        <w:rPr>
          <w:rFonts w:ascii="Arial" w:hAnsi="Arial" w:cs="Arial"/>
          <w:b/>
          <w:bCs/>
          <w:sz w:val="24"/>
          <w:szCs w:val="24"/>
        </w:rPr>
        <w:t>ANNEX 1</w:t>
      </w:r>
    </w:p>
    <w:p w14:paraId="5FFF8DF0" w14:textId="13CB3A4C" w:rsidR="00642D56" w:rsidRPr="0034068D" w:rsidRDefault="007C0441" w:rsidP="00C637F7">
      <w:pPr>
        <w:jc w:val="both"/>
        <w:rPr>
          <w:rFonts w:ascii="Arial" w:hAnsi="Arial" w:cs="Arial"/>
          <w:b/>
          <w:bCs/>
          <w:sz w:val="20"/>
          <w:szCs w:val="20"/>
        </w:rPr>
      </w:pPr>
      <w:r w:rsidRPr="0034068D">
        <w:rPr>
          <w:rFonts w:ascii="Arial" w:hAnsi="Arial" w:cs="Arial"/>
          <w:b/>
          <w:bCs/>
          <w:sz w:val="20"/>
          <w:szCs w:val="20"/>
        </w:rPr>
        <w:t xml:space="preserve">Material flaws in the Quantitative Analysis </w:t>
      </w:r>
      <w:r w:rsidR="00C637F7" w:rsidRPr="0034068D">
        <w:rPr>
          <w:rFonts w:ascii="Arial" w:hAnsi="Arial" w:cs="Arial"/>
          <w:b/>
          <w:bCs/>
          <w:sz w:val="20"/>
          <w:szCs w:val="20"/>
        </w:rPr>
        <w:t>when TNUoS is applied to SDG</w:t>
      </w:r>
      <w:r w:rsidR="00642D56" w:rsidRPr="0034068D">
        <w:rPr>
          <w:rFonts w:ascii="Arial" w:hAnsi="Arial" w:cs="Arial"/>
          <w:b/>
          <w:bCs/>
          <w:sz w:val="20"/>
          <w:szCs w:val="20"/>
        </w:rPr>
        <w:t xml:space="preserve"> - </w:t>
      </w:r>
      <w:r w:rsidR="00642D56" w:rsidRPr="0034068D">
        <w:rPr>
          <w:rFonts w:ascii="Arial" w:hAnsi="Arial" w:cs="Arial"/>
          <w:b/>
          <w:bCs/>
          <w:color w:val="000000"/>
          <w:sz w:val="20"/>
          <w:szCs w:val="20"/>
        </w:rPr>
        <w:t>Access and Forward-looking Charges Significant Code Review: Consultation on Minded to Positions</w:t>
      </w:r>
    </w:p>
    <w:p w14:paraId="064F15E9" w14:textId="77777777" w:rsidR="007C0441" w:rsidRPr="0034068D" w:rsidRDefault="007C0441" w:rsidP="00C637F7">
      <w:pPr>
        <w:jc w:val="both"/>
        <w:rPr>
          <w:rFonts w:ascii="Arial" w:hAnsi="Arial" w:cs="Arial"/>
          <w:sz w:val="20"/>
          <w:szCs w:val="20"/>
        </w:rPr>
      </w:pPr>
      <w:r w:rsidRPr="0034068D">
        <w:rPr>
          <w:rFonts w:ascii="Arial" w:hAnsi="Arial" w:cs="Arial"/>
          <w:sz w:val="20"/>
          <w:szCs w:val="20"/>
        </w:rPr>
        <w:t>The accompanying CEPA-TNEI quantitative analysis has a number of serious flaws which in our view provide misleading conclusions. We know that members wrote to Ofgem seeking clarification of the modelling detail, but that to date these concerns have not been addressed; we hope that these can usefully improve the analysis, notably in the case that the analysis needs to be repeated in light of a wider TNUoS review.</w:t>
      </w:r>
    </w:p>
    <w:p w14:paraId="2D0DE922" w14:textId="402869C1" w:rsidR="007C0441" w:rsidRPr="0034068D" w:rsidRDefault="007C0441" w:rsidP="00C637F7">
      <w:pPr>
        <w:jc w:val="both"/>
        <w:rPr>
          <w:rFonts w:ascii="Arial" w:hAnsi="Arial" w:cs="Arial"/>
          <w:sz w:val="20"/>
          <w:szCs w:val="20"/>
        </w:rPr>
      </w:pPr>
      <w:r w:rsidRPr="0034068D">
        <w:rPr>
          <w:rFonts w:ascii="Arial" w:hAnsi="Arial" w:cs="Arial"/>
          <w:sz w:val="20"/>
          <w:szCs w:val="20"/>
        </w:rPr>
        <w:t>It is welcome that a number of the flaws have been acknowledged in the report – such as the unrealistic assumptions around planning consent and the unknown pipeline for replacement projects in other regions – but there are further issues which call into question the resulting conclusions. In our view a subsequent analysis which would take consideration of the issues which we have outlined below could well show that the minded-to position results in a net disbenefit to consumers and more certainly an increase in carbon emissions.</w:t>
      </w:r>
    </w:p>
    <w:p w14:paraId="09B5891C" w14:textId="77777777" w:rsidR="007C0441" w:rsidRPr="0034068D" w:rsidRDefault="007C0441" w:rsidP="00C637F7">
      <w:pPr>
        <w:spacing w:after="0"/>
        <w:ind w:left="360"/>
        <w:jc w:val="both"/>
        <w:rPr>
          <w:rFonts w:ascii="Arial" w:hAnsi="Arial" w:cs="Arial"/>
          <w:sz w:val="20"/>
          <w:szCs w:val="20"/>
        </w:rPr>
      </w:pPr>
      <w:r w:rsidRPr="0034068D">
        <w:rPr>
          <w:rFonts w:ascii="Arial" w:hAnsi="Arial" w:cs="Arial"/>
          <w:sz w:val="20"/>
          <w:szCs w:val="20"/>
        </w:rPr>
        <w:t>Key flaws include:</w:t>
      </w:r>
    </w:p>
    <w:p w14:paraId="14599CCA" w14:textId="77777777" w:rsidR="007C0441" w:rsidRPr="0034068D" w:rsidRDefault="007C0441" w:rsidP="00C637F7">
      <w:pPr>
        <w:spacing w:after="0"/>
        <w:ind w:left="360"/>
        <w:jc w:val="both"/>
        <w:rPr>
          <w:rFonts w:ascii="Arial" w:hAnsi="Arial" w:cs="Arial"/>
          <w:sz w:val="20"/>
          <w:szCs w:val="20"/>
        </w:rPr>
      </w:pPr>
      <w:r w:rsidRPr="0034068D">
        <w:rPr>
          <w:rFonts w:ascii="Arial" w:hAnsi="Arial" w:cs="Arial"/>
          <w:sz w:val="20"/>
          <w:szCs w:val="20"/>
        </w:rPr>
        <w:t>•</w:t>
      </w:r>
      <w:r w:rsidRPr="0034068D">
        <w:rPr>
          <w:rFonts w:ascii="Arial" w:hAnsi="Arial" w:cs="Arial"/>
          <w:sz w:val="20"/>
          <w:szCs w:val="20"/>
        </w:rPr>
        <w:tab/>
        <w:t>Misapplication of TNUoS credits</w:t>
      </w:r>
    </w:p>
    <w:p w14:paraId="4CE0ABE7" w14:textId="77777777" w:rsidR="007C0441" w:rsidRPr="0034068D" w:rsidRDefault="007C0441" w:rsidP="00C637F7">
      <w:pPr>
        <w:spacing w:after="0"/>
        <w:ind w:left="360"/>
        <w:jc w:val="both"/>
        <w:rPr>
          <w:rFonts w:ascii="Arial" w:hAnsi="Arial" w:cs="Arial"/>
          <w:sz w:val="20"/>
          <w:szCs w:val="20"/>
        </w:rPr>
      </w:pPr>
      <w:r w:rsidRPr="0034068D">
        <w:rPr>
          <w:rFonts w:ascii="Arial" w:hAnsi="Arial" w:cs="Arial"/>
          <w:sz w:val="20"/>
          <w:szCs w:val="20"/>
        </w:rPr>
        <w:t>•</w:t>
      </w:r>
      <w:r w:rsidRPr="0034068D">
        <w:rPr>
          <w:rFonts w:ascii="Arial" w:hAnsi="Arial" w:cs="Arial"/>
          <w:sz w:val="20"/>
          <w:szCs w:val="20"/>
        </w:rPr>
        <w:tab/>
        <w:t>Misapplication of revenue-replacement support costs</w:t>
      </w:r>
    </w:p>
    <w:p w14:paraId="622F916F" w14:textId="77777777" w:rsidR="007C0441" w:rsidRPr="0034068D" w:rsidRDefault="007C0441" w:rsidP="00C637F7">
      <w:pPr>
        <w:spacing w:after="0"/>
        <w:ind w:left="360"/>
        <w:jc w:val="both"/>
        <w:rPr>
          <w:rFonts w:ascii="Arial" w:hAnsi="Arial" w:cs="Arial"/>
          <w:sz w:val="20"/>
          <w:szCs w:val="20"/>
        </w:rPr>
      </w:pPr>
      <w:r w:rsidRPr="0034068D">
        <w:rPr>
          <w:rFonts w:ascii="Arial" w:hAnsi="Arial" w:cs="Arial"/>
          <w:sz w:val="20"/>
          <w:szCs w:val="20"/>
        </w:rPr>
        <w:t>•</w:t>
      </w:r>
      <w:r w:rsidRPr="0034068D">
        <w:rPr>
          <w:rFonts w:ascii="Arial" w:hAnsi="Arial" w:cs="Arial"/>
          <w:sz w:val="20"/>
          <w:szCs w:val="20"/>
        </w:rPr>
        <w:tab/>
        <w:t>Assumptions of sufficient and timely delivery pipeline in southern regions</w:t>
      </w:r>
    </w:p>
    <w:p w14:paraId="55EB4B54" w14:textId="77777777" w:rsidR="007C0441" w:rsidRPr="0034068D" w:rsidRDefault="007C0441" w:rsidP="00C637F7">
      <w:pPr>
        <w:spacing w:after="0"/>
        <w:ind w:left="360"/>
        <w:jc w:val="both"/>
        <w:rPr>
          <w:rFonts w:ascii="Arial" w:hAnsi="Arial" w:cs="Arial"/>
          <w:sz w:val="20"/>
          <w:szCs w:val="20"/>
        </w:rPr>
      </w:pPr>
      <w:r w:rsidRPr="0034068D">
        <w:rPr>
          <w:rFonts w:ascii="Arial" w:hAnsi="Arial" w:cs="Arial"/>
          <w:sz w:val="20"/>
          <w:szCs w:val="20"/>
        </w:rPr>
        <w:t>•</w:t>
      </w:r>
      <w:r w:rsidRPr="0034068D">
        <w:rPr>
          <w:rFonts w:ascii="Arial" w:hAnsi="Arial" w:cs="Arial"/>
          <w:sz w:val="20"/>
          <w:szCs w:val="20"/>
        </w:rPr>
        <w:tab/>
        <w:t>No adjustment of nameplate capacity to compensate for lower average load factor generation</w:t>
      </w:r>
    </w:p>
    <w:p w14:paraId="3EB5C6F5" w14:textId="77777777" w:rsidR="007C0441" w:rsidRPr="0034068D" w:rsidRDefault="007C0441" w:rsidP="00C637F7">
      <w:pPr>
        <w:spacing w:after="0"/>
        <w:ind w:left="360"/>
        <w:jc w:val="both"/>
        <w:rPr>
          <w:rFonts w:ascii="Arial" w:hAnsi="Arial" w:cs="Arial"/>
          <w:sz w:val="20"/>
          <w:szCs w:val="20"/>
        </w:rPr>
      </w:pPr>
      <w:r w:rsidRPr="0034068D">
        <w:rPr>
          <w:rFonts w:ascii="Arial" w:hAnsi="Arial" w:cs="Arial"/>
          <w:sz w:val="20"/>
          <w:szCs w:val="20"/>
        </w:rPr>
        <w:t>•</w:t>
      </w:r>
      <w:r w:rsidRPr="0034068D">
        <w:rPr>
          <w:rFonts w:ascii="Arial" w:hAnsi="Arial" w:cs="Arial"/>
          <w:sz w:val="20"/>
          <w:szCs w:val="20"/>
        </w:rPr>
        <w:tab/>
        <w:t>No recognition of geographic diversity benefits of variable renewables</w:t>
      </w:r>
    </w:p>
    <w:p w14:paraId="5E9E7EFE" w14:textId="77777777" w:rsidR="007C0441" w:rsidRPr="0034068D" w:rsidRDefault="007C0441" w:rsidP="00FC39B1">
      <w:pPr>
        <w:spacing w:after="0"/>
        <w:ind w:left="720" w:hanging="360"/>
        <w:jc w:val="both"/>
        <w:rPr>
          <w:rFonts w:ascii="Arial" w:hAnsi="Arial" w:cs="Arial"/>
          <w:sz w:val="20"/>
          <w:szCs w:val="20"/>
        </w:rPr>
      </w:pPr>
      <w:r w:rsidRPr="0034068D">
        <w:rPr>
          <w:rFonts w:ascii="Arial" w:hAnsi="Arial" w:cs="Arial"/>
          <w:sz w:val="20"/>
          <w:szCs w:val="20"/>
        </w:rPr>
        <w:t>•</w:t>
      </w:r>
      <w:r w:rsidRPr="0034068D">
        <w:rPr>
          <w:rFonts w:ascii="Arial" w:hAnsi="Arial" w:cs="Arial"/>
          <w:sz w:val="20"/>
          <w:szCs w:val="20"/>
        </w:rPr>
        <w:tab/>
        <w:t>No adjustment of flexibility requirements to meet the less diverse and lower load factor generation mix.</w:t>
      </w:r>
    </w:p>
    <w:p w14:paraId="017AB5E3" w14:textId="77777777" w:rsidR="007C0441" w:rsidRPr="0034068D" w:rsidRDefault="007C0441" w:rsidP="00C637F7">
      <w:pPr>
        <w:spacing w:after="0"/>
        <w:ind w:left="360"/>
        <w:jc w:val="both"/>
        <w:rPr>
          <w:rFonts w:ascii="Arial" w:hAnsi="Arial" w:cs="Arial"/>
          <w:sz w:val="20"/>
          <w:szCs w:val="20"/>
        </w:rPr>
      </w:pPr>
      <w:r w:rsidRPr="0034068D">
        <w:rPr>
          <w:rFonts w:ascii="Arial" w:hAnsi="Arial" w:cs="Arial"/>
          <w:sz w:val="20"/>
          <w:szCs w:val="20"/>
        </w:rPr>
        <w:t>•</w:t>
      </w:r>
      <w:r w:rsidRPr="0034068D">
        <w:rPr>
          <w:rFonts w:ascii="Arial" w:hAnsi="Arial" w:cs="Arial"/>
          <w:sz w:val="20"/>
          <w:szCs w:val="20"/>
        </w:rPr>
        <w:tab/>
        <w:t>Assumptions of zero early closures</w:t>
      </w:r>
    </w:p>
    <w:p w14:paraId="5FC84C3C" w14:textId="77777777" w:rsidR="00642D56" w:rsidRPr="0034068D" w:rsidRDefault="00642D56" w:rsidP="00C637F7">
      <w:pPr>
        <w:jc w:val="both"/>
        <w:rPr>
          <w:rFonts w:ascii="Arial" w:hAnsi="Arial" w:cs="Arial"/>
          <w:sz w:val="20"/>
          <w:szCs w:val="20"/>
        </w:rPr>
      </w:pPr>
    </w:p>
    <w:p w14:paraId="34FF163A" w14:textId="7688238A" w:rsidR="007C0441" w:rsidRPr="0034068D" w:rsidRDefault="007C0441" w:rsidP="00C637F7">
      <w:pPr>
        <w:jc w:val="both"/>
        <w:rPr>
          <w:rFonts w:ascii="Arial" w:hAnsi="Arial" w:cs="Arial"/>
          <w:sz w:val="20"/>
          <w:szCs w:val="20"/>
        </w:rPr>
      </w:pPr>
      <w:r w:rsidRPr="0034068D">
        <w:rPr>
          <w:rFonts w:ascii="Arial" w:hAnsi="Arial" w:cs="Arial"/>
          <w:sz w:val="20"/>
          <w:szCs w:val="20"/>
        </w:rPr>
        <w:t>TNUoS credits have been misapplied in the modelling, mistakenly removing a signal to support triad generation by SDG. The sharper signal of TNUoS rather than the EET applied to southern generation would more likely see carbon emissions rise as a result of the proposed change. Quantitative Analysis p28 states “the reforms remove the operational incentive on embedded generators in the southern zones to export over expected Triad periods”, whereas ESO pays TNUoS credits based on the average output during triad, retaining the triad signal. A smaller but similar-direction effect comes from applying Ofgem’s TCR decision to floor demand locational charges at zero; even if un-floored, this would remove any corresponding EET charge applied to eligible (Northern) SDG, mitigating the perverse signal to turn-off during triad, but also mitigating the claimed carbon emissions reduction.</w:t>
      </w:r>
    </w:p>
    <w:p w14:paraId="7C9254FF" w14:textId="77777777" w:rsidR="007C0441" w:rsidRPr="0034068D" w:rsidRDefault="007C0441" w:rsidP="00C637F7">
      <w:pPr>
        <w:jc w:val="both"/>
        <w:rPr>
          <w:rFonts w:ascii="Arial" w:hAnsi="Arial" w:cs="Arial"/>
          <w:sz w:val="20"/>
          <w:szCs w:val="20"/>
        </w:rPr>
      </w:pPr>
      <w:r w:rsidRPr="0034068D">
        <w:rPr>
          <w:rFonts w:ascii="Arial" w:hAnsi="Arial" w:cs="Arial"/>
          <w:sz w:val="20"/>
          <w:szCs w:val="20"/>
        </w:rPr>
        <w:t>Government support costs are mistakenly assumed to be tailored precisely to each region and separately to each generator technology (and without any delay which might impact deployment decisions). This is not representative of the CfD process, which has a single clearance price for all GB for a given ‘pot’ of technologies. The result in excess support for southern generation (which has the clearance price unduly lifted by the imperfect TNUoS locational signal). The resulting inefficiency will lead to a ‘support costs’ impact much larger than has been modelled.</w:t>
      </w:r>
    </w:p>
    <w:p w14:paraId="18D085FF" w14:textId="77777777" w:rsidR="007C0441" w:rsidRPr="0034068D" w:rsidRDefault="007C0441" w:rsidP="00C637F7">
      <w:pPr>
        <w:jc w:val="both"/>
        <w:rPr>
          <w:rFonts w:ascii="Arial" w:hAnsi="Arial" w:cs="Arial"/>
          <w:sz w:val="20"/>
          <w:szCs w:val="20"/>
        </w:rPr>
      </w:pPr>
      <w:r w:rsidRPr="0034068D">
        <w:rPr>
          <w:rFonts w:ascii="Arial" w:hAnsi="Arial" w:cs="Arial"/>
          <w:sz w:val="20"/>
          <w:szCs w:val="20"/>
        </w:rPr>
        <w:t xml:space="preserve">It is also an optimistic assumption that the revenue ‘loss’ through TNUoS change will be perfectly offset in time and that there will be no investment delay and no risk premium adjustment as a result of the changes. The timing element has only downside risk for the quantitative analysis. On a related point, we would point out that it is optimistic to assume a seamless transition of pipeline projects from one region to another. </w:t>
      </w:r>
    </w:p>
    <w:p w14:paraId="36F019C8" w14:textId="77777777" w:rsidR="007C0441" w:rsidRPr="0034068D" w:rsidRDefault="007C0441" w:rsidP="00C637F7">
      <w:pPr>
        <w:jc w:val="both"/>
        <w:rPr>
          <w:rFonts w:ascii="Arial" w:hAnsi="Arial" w:cs="Arial"/>
          <w:sz w:val="20"/>
          <w:szCs w:val="20"/>
        </w:rPr>
      </w:pPr>
      <w:r w:rsidRPr="0034068D">
        <w:rPr>
          <w:rFonts w:ascii="Arial" w:hAnsi="Arial" w:cs="Arial"/>
          <w:sz w:val="20"/>
          <w:szCs w:val="20"/>
        </w:rPr>
        <w:lastRenderedPageBreak/>
        <w:t>We note that geographic diversity of variable renewables has not been fully accounted for in the modelling. The TNUoS signal to focus these renewables in closer proximity, in the centre and south of GB, corresponds to greater volatility of output, leading to extremes of pricing and greater requirements for balancing actions (increased balancing costs to consumers) and greater requirements for flexibility (more nameplate capacity of battery storage or similar for each MW of variable renewables). When correctly factored in this will act against the claimed benefit.</w:t>
      </w:r>
    </w:p>
    <w:p w14:paraId="60292C70" w14:textId="77777777" w:rsidR="007C0441" w:rsidRPr="0034068D" w:rsidRDefault="007C0441" w:rsidP="00C637F7">
      <w:pPr>
        <w:jc w:val="both"/>
        <w:rPr>
          <w:rFonts w:ascii="Arial" w:hAnsi="Arial" w:cs="Arial"/>
          <w:sz w:val="20"/>
          <w:szCs w:val="20"/>
        </w:rPr>
      </w:pPr>
      <w:r w:rsidRPr="0034068D">
        <w:rPr>
          <w:rFonts w:ascii="Arial" w:hAnsi="Arial" w:cs="Arial"/>
          <w:sz w:val="20"/>
          <w:szCs w:val="20"/>
        </w:rPr>
        <w:t xml:space="preserve">Among the acknowledged modelling flaws, a few are worth drawing out as the implications are very material to the possibility of any benefit or disbenefit coming from the proposed change. </w:t>
      </w:r>
    </w:p>
    <w:p w14:paraId="16A07D1F" w14:textId="77777777" w:rsidR="007C0441" w:rsidRPr="0034068D" w:rsidRDefault="007C0441" w:rsidP="00C637F7">
      <w:pPr>
        <w:jc w:val="both"/>
        <w:rPr>
          <w:rFonts w:ascii="Arial" w:hAnsi="Arial" w:cs="Arial"/>
          <w:sz w:val="20"/>
          <w:szCs w:val="20"/>
        </w:rPr>
      </w:pPr>
      <w:r w:rsidRPr="0034068D">
        <w:rPr>
          <w:rFonts w:ascii="Arial" w:hAnsi="Arial" w:cs="Arial"/>
          <w:sz w:val="20"/>
          <w:szCs w:val="20"/>
        </w:rPr>
        <w:t>We acknowledge that investment in the energy sector is not risk-free, and that investors should anticipate a certain level of variation in network charges over the life of the project. However, the introduction of transmission charges on generators whom, if investing prior to 2016, would have seen TNUoS as a benefit (if they had factored it at all), represents a substantive change in the framework under which they invested.</w:t>
      </w:r>
    </w:p>
    <w:p w14:paraId="07191E1A" w14:textId="424C0A41" w:rsidR="007C0441" w:rsidRPr="0034068D" w:rsidRDefault="007C0441" w:rsidP="00C637F7">
      <w:pPr>
        <w:jc w:val="both"/>
        <w:rPr>
          <w:rFonts w:ascii="Arial" w:hAnsi="Arial" w:cs="Arial"/>
          <w:sz w:val="20"/>
          <w:szCs w:val="20"/>
        </w:rPr>
      </w:pPr>
      <w:r w:rsidRPr="0034068D">
        <w:rPr>
          <w:rFonts w:ascii="Arial" w:hAnsi="Arial" w:cs="Arial"/>
          <w:sz w:val="20"/>
          <w:szCs w:val="20"/>
        </w:rPr>
        <w:t xml:space="preserve">According to the 2021 FES report, in the consumer transformation scenario (the main scenario taken by Ofgem in its analysis) we will need 44GW of onshore wind by 2050, which in terms of resource is mostly expected to be deployed in Scotland. The modelling acknowledges the limitations of pipeline and consent for this technology to be located in southern areas, and that most of the resource is in the north. Setting aside the considerable planning barriers, more southerly onshore wind is acknowledged to have lower capacity factors on average; to maintain the energy output for net zero pathways more nameplate capacity would be required, with corresponding increase in land use and support costs (typically paid per MW). We note in Ofgem’s podcast on the minded-to position the view that reduced onshore wind may see an increase in English solar generation. Noting the roughly four times lower load factor of solar, this means significantly more nameplate capacity will be needed – which brings questions for total embodied carbon, of increased support costs and increased land requirements. We suggest it would be appropriate to quantify these outcomes to seriously test whether the changes can provide an overall net benefit.  </w:t>
      </w:r>
    </w:p>
    <w:p w14:paraId="6863815C" w14:textId="797FDEF0" w:rsidR="007C0441" w:rsidRPr="0034068D" w:rsidRDefault="007C0441" w:rsidP="00C637F7">
      <w:pPr>
        <w:jc w:val="both"/>
        <w:rPr>
          <w:rFonts w:ascii="Arial" w:hAnsi="Arial" w:cs="Arial"/>
          <w:sz w:val="20"/>
          <w:szCs w:val="20"/>
        </w:rPr>
      </w:pPr>
      <w:r w:rsidRPr="0034068D">
        <w:rPr>
          <w:rFonts w:ascii="Arial" w:hAnsi="Arial" w:cs="Arial"/>
          <w:sz w:val="20"/>
          <w:szCs w:val="20"/>
        </w:rPr>
        <w:t xml:space="preserve">Another significant element is the risk of early closure of operational renewables in Scotland as a result of the changes. Projects exiting previous support schemes (such as the RO) or ending their CfD agreement when faced </w:t>
      </w:r>
      <w:r w:rsidR="006A62D3" w:rsidRPr="0034068D">
        <w:rPr>
          <w:rFonts w:ascii="Arial" w:hAnsi="Arial" w:cs="Arial"/>
          <w:color w:val="000000"/>
          <w:sz w:val="20"/>
          <w:szCs w:val="20"/>
        </w:rPr>
        <w:t xml:space="preserve">with such tariffs as shown in table 5.3 of </w:t>
      </w:r>
      <w:r w:rsidRPr="0034068D">
        <w:rPr>
          <w:rFonts w:ascii="Arial" w:hAnsi="Arial" w:cs="Arial"/>
          <w:sz w:val="20"/>
          <w:szCs w:val="20"/>
        </w:rPr>
        <w:t>the quantitative analysis (</w:t>
      </w:r>
      <w:r w:rsidR="006A62D3" w:rsidRPr="0034068D">
        <w:rPr>
          <w:rFonts w:ascii="Arial" w:hAnsi="Arial" w:cs="Arial"/>
          <w:sz w:val="20"/>
          <w:szCs w:val="20"/>
        </w:rPr>
        <w:t>page 29 of the CEPA-TNEI report</w:t>
      </w:r>
      <w:r w:rsidRPr="0034068D">
        <w:rPr>
          <w:rFonts w:ascii="Arial" w:hAnsi="Arial" w:cs="Arial"/>
          <w:sz w:val="20"/>
          <w:szCs w:val="20"/>
        </w:rPr>
        <w:t xml:space="preserve">) will see a challenging, and in a number of instances negative, cost-benefit for future maintenance and repairs, resulting in early closures. Both the unused local grid infrastructure and the negative effect on total deployment are missing from the quantitative analysis, which assumes existing renewables remain on the system without additional cost. </w:t>
      </w:r>
    </w:p>
    <w:p w14:paraId="1544A5A4" w14:textId="77777777" w:rsidR="007C0441" w:rsidRPr="00C637F7" w:rsidRDefault="007C0441" w:rsidP="00C637F7">
      <w:pPr>
        <w:jc w:val="both"/>
        <w:rPr>
          <w:rFonts w:ascii="Arial" w:hAnsi="Arial" w:cs="Arial"/>
          <w:sz w:val="20"/>
          <w:szCs w:val="20"/>
        </w:rPr>
      </w:pPr>
      <w:r w:rsidRPr="0034068D">
        <w:rPr>
          <w:rFonts w:ascii="Arial" w:hAnsi="Arial" w:cs="Arial"/>
          <w:sz w:val="20"/>
          <w:szCs w:val="20"/>
        </w:rPr>
        <w:t>We conclude that a corrected quantitative analysis would show a reduced, likely negative net benefit, and that carbon emissions are more likely to rise than fall under the proposed changes. We are in full agreement that wider TNUoS needs to be reconsidered in terms of alignment with the UK’s objectives for net zero and Ofgem’s overall strategic direction. We agree that it would be appropriate to pause application of wider TNUoS to SDG while such reform is considered, mitigating change fatigue and undue volatility. We believe updated quantitative analysis would need to be done in light of the proposed review and the points raised above before confirming the implementation of this charge for SDG.</w:t>
      </w:r>
      <w:r w:rsidRPr="00C637F7">
        <w:rPr>
          <w:rFonts w:ascii="Arial" w:hAnsi="Arial" w:cs="Arial"/>
          <w:sz w:val="20"/>
          <w:szCs w:val="20"/>
        </w:rPr>
        <w:t xml:space="preserve"> </w:t>
      </w:r>
    </w:p>
    <w:p w14:paraId="06013193" w14:textId="77777777" w:rsidR="007C0441" w:rsidRPr="00C637F7" w:rsidRDefault="007C0441" w:rsidP="00E113E9">
      <w:pPr>
        <w:ind w:left="360"/>
        <w:jc w:val="both"/>
        <w:rPr>
          <w:rFonts w:ascii="Arial" w:hAnsi="Arial" w:cs="Arial"/>
          <w:sz w:val="20"/>
          <w:szCs w:val="20"/>
        </w:rPr>
      </w:pPr>
    </w:p>
    <w:sectPr w:rsidR="007C0441" w:rsidRPr="00C637F7" w:rsidSect="000804F6">
      <w:headerReference w:type="even" r:id="rId13"/>
      <w:headerReference w:type="default" r:id="rId14"/>
      <w:footerReference w:type="even" r:id="rId15"/>
      <w:footerReference w:type="default" r:id="rId16"/>
      <w:headerReference w:type="first" r:id="rId17"/>
      <w:footerReference w:type="first" r:id="rId18"/>
      <w:pgSz w:w="11906" w:h="16838"/>
      <w:pgMar w:top="1474"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70A" w14:textId="77777777" w:rsidR="00A0128E" w:rsidRDefault="00A0128E" w:rsidP="00A64FB9">
      <w:pPr>
        <w:spacing w:after="0" w:line="240" w:lineRule="auto"/>
      </w:pPr>
      <w:r>
        <w:separator/>
      </w:r>
    </w:p>
  </w:endnote>
  <w:endnote w:type="continuationSeparator" w:id="0">
    <w:p w14:paraId="703BF61C" w14:textId="77777777" w:rsidR="00A0128E" w:rsidRDefault="00A0128E"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D679" w14:textId="77777777" w:rsidR="00BA2927" w:rsidRDefault="00BA2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7CD8" w14:textId="77777777" w:rsidR="00BA2927" w:rsidRDefault="00BA2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593" w14:textId="77777777" w:rsidR="00A0128E" w:rsidRDefault="00A0128E">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13228886" wp14:editId="42730C31">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53B117DA" wp14:editId="046C1BCC">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8BA" w14:textId="77777777" w:rsidR="00A0128E" w:rsidRDefault="00A0128E" w:rsidP="00A64FB9">
      <w:pPr>
        <w:spacing w:after="0" w:line="240" w:lineRule="auto"/>
      </w:pPr>
      <w:r>
        <w:separator/>
      </w:r>
    </w:p>
  </w:footnote>
  <w:footnote w:type="continuationSeparator" w:id="0">
    <w:p w14:paraId="1D7058B7" w14:textId="77777777" w:rsidR="00A0128E" w:rsidRDefault="00A0128E" w:rsidP="00A64FB9">
      <w:pPr>
        <w:spacing w:after="0" w:line="240" w:lineRule="auto"/>
      </w:pPr>
      <w:r>
        <w:continuationSeparator/>
      </w:r>
    </w:p>
  </w:footnote>
  <w:footnote w:id="1">
    <w:p w14:paraId="282C5370" w14:textId="7A797A0E" w:rsidR="00B4601C" w:rsidRPr="00F501EC" w:rsidRDefault="00B4601C" w:rsidP="00B4601C">
      <w:pPr>
        <w:pStyle w:val="FootnoteText"/>
        <w:rPr>
          <w:lang w:val="en-US"/>
        </w:rPr>
      </w:pPr>
      <w:r>
        <w:rPr>
          <w:rStyle w:val="FootnoteReference"/>
        </w:rPr>
        <w:footnoteRef/>
      </w:r>
      <w:r>
        <w:t xml:space="preserve"> </w:t>
      </w:r>
      <w:r w:rsidRPr="00F501EC">
        <w:rPr>
          <w:rFonts w:ascii="Arial" w:hAnsi="Arial" w:cs="Arial"/>
          <w:sz w:val="16"/>
          <w:szCs w:val="16"/>
          <w:lang w:val="en-US"/>
        </w:rPr>
        <w:t xml:space="preserve">UK </w:t>
      </w:r>
      <w:r w:rsidR="00696BD9">
        <w:rPr>
          <w:rFonts w:ascii="Arial" w:hAnsi="Arial" w:cs="Arial"/>
          <w:sz w:val="16"/>
          <w:szCs w:val="16"/>
          <w:lang w:val="en-US"/>
        </w:rPr>
        <w:t>G</w:t>
      </w:r>
      <w:r w:rsidRPr="00F501EC">
        <w:rPr>
          <w:rFonts w:ascii="Arial" w:hAnsi="Arial" w:cs="Arial"/>
          <w:sz w:val="16"/>
          <w:szCs w:val="16"/>
          <w:lang w:val="en-US"/>
        </w:rPr>
        <w:t xml:space="preserve">overnment (2021). Net Zero Strategy: Build Back Greener. Available at: </w:t>
      </w:r>
      <w:hyperlink r:id="rId1" w:history="1">
        <w:r w:rsidRPr="00F501EC">
          <w:rPr>
            <w:rStyle w:val="Hyperlink"/>
            <w:rFonts w:ascii="Arial" w:hAnsi="Arial" w:cs="Arial"/>
            <w:sz w:val="16"/>
            <w:szCs w:val="16"/>
            <w:lang w:val="en-US"/>
          </w:rPr>
          <w:t>https://www.gov.uk/government/publications/net-zero-strategy</w:t>
        </w:r>
      </w:hyperlink>
      <w:r>
        <w:rPr>
          <w:lang w:val="en-US"/>
        </w:rPr>
        <w:t xml:space="preserve"> </w:t>
      </w:r>
    </w:p>
  </w:footnote>
  <w:footnote w:id="2">
    <w:p w14:paraId="7A139737" w14:textId="45125E46" w:rsidR="00696BD9" w:rsidRPr="00696BD9" w:rsidRDefault="00696BD9">
      <w:pPr>
        <w:pStyle w:val="FootnoteText"/>
        <w:rPr>
          <w:sz w:val="18"/>
          <w:szCs w:val="18"/>
          <w:lang w:val="en-US"/>
        </w:rPr>
      </w:pPr>
      <w:r>
        <w:rPr>
          <w:rStyle w:val="FootnoteReference"/>
        </w:rPr>
        <w:footnoteRef/>
      </w:r>
      <w:r>
        <w:t xml:space="preserve"> </w:t>
      </w:r>
      <w:r w:rsidRPr="00696BD9">
        <w:rPr>
          <w:rFonts w:ascii="Arial" w:hAnsi="Arial" w:cs="Arial"/>
          <w:sz w:val="16"/>
          <w:szCs w:val="16"/>
        </w:rPr>
        <w:t>UK Government and Ofgem</w:t>
      </w:r>
      <w:r w:rsidR="003F18E5">
        <w:rPr>
          <w:rFonts w:ascii="Arial" w:hAnsi="Arial" w:cs="Arial"/>
          <w:sz w:val="16"/>
          <w:szCs w:val="16"/>
        </w:rPr>
        <w:t xml:space="preserve"> (2021)</w:t>
      </w:r>
      <w:r w:rsidRPr="00696BD9">
        <w:rPr>
          <w:rFonts w:ascii="Arial" w:hAnsi="Arial" w:cs="Arial"/>
          <w:sz w:val="16"/>
          <w:szCs w:val="16"/>
        </w:rPr>
        <w:t xml:space="preserve">. Transitioning to a net zero energy system: smart systems and flexibility plan 2021. Available at: </w:t>
      </w:r>
      <w:hyperlink r:id="rId2" w:history="1">
        <w:r w:rsidRPr="00696BD9">
          <w:rPr>
            <w:rStyle w:val="Hyperlink"/>
            <w:rFonts w:ascii="Arial" w:hAnsi="Arial" w:cs="Arial"/>
            <w:sz w:val="16"/>
            <w:szCs w:val="16"/>
          </w:rPr>
          <w:t>https://www.gov.uk/government/publications/transitioning-to-a-net-zero-energy-system-smart-systems-and-flexibility-plan-2021</w:t>
        </w:r>
      </w:hyperlink>
      <w:r w:rsidRPr="00696BD9">
        <w:rPr>
          <w:sz w:val="18"/>
          <w:szCs w:val="18"/>
        </w:rPr>
        <w:t xml:space="preserve"> </w:t>
      </w:r>
    </w:p>
  </w:footnote>
  <w:footnote w:id="3">
    <w:p w14:paraId="4B33F788" w14:textId="22C6015F" w:rsidR="00486153" w:rsidRPr="00486153" w:rsidRDefault="00486153">
      <w:pPr>
        <w:pStyle w:val="FootnoteText"/>
        <w:rPr>
          <w:lang w:val="en-US"/>
        </w:rPr>
      </w:pPr>
      <w:r>
        <w:rPr>
          <w:rStyle w:val="FootnoteReference"/>
        </w:rPr>
        <w:footnoteRef/>
      </w:r>
      <w:r>
        <w:t xml:space="preserve"> </w:t>
      </w:r>
      <w:r w:rsidRPr="00582424">
        <w:rPr>
          <w:rFonts w:ascii="Arial" w:hAnsi="Arial" w:cs="Arial"/>
          <w:sz w:val="16"/>
          <w:szCs w:val="16"/>
        </w:rPr>
        <w:t>UK Government</w:t>
      </w:r>
      <w:r w:rsidR="00006CDC">
        <w:rPr>
          <w:rFonts w:ascii="Arial" w:hAnsi="Arial" w:cs="Arial"/>
          <w:sz w:val="16"/>
          <w:szCs w:val="16"/>
        </w:rPr>
        <w:t xml:space="preserve"> (2021)</w:t>
      </w:r>
      <w:r w:rsidRPr="00582424">
        <w:rPr>
          <w:rFonts w:ascii="Arial" w:hAnsi="Arial" w:cs="Arial"/>
          <w:sz w:val="16"/>
          <w:szCs w:val="16"/>
        </w:rPr>
        <w:t xml:space="preserve">. </w:t>
      </w:r>
      <w:r w:rsidR="00582424" w:rsidRPr="00582424">
        <w:rPr>
          <w:rFonts w:ascii="Arial" w:hAnsi="Arial" w:cs="Arial"/>
          <w:sz w:val="16"/>
          <w:szCs w:val="16"/>
        </w:rPr>
        <w:t>Heat and Building Strategy.</w:t>
      </w:r>
      <w:r w:rsidR="00582424">
        <w:rPr>
          <w:rFonts w:ascii="Arial" w:hAnsi="Arial" w:cs="Arial"/>
          <w:sz w:val="16"/>
          <w:szCs w:val="16"/>
        </w:rPr>
        <w:t xml:space="preserve"> Available at: </w:t>
      </w:r>
      <w:r w:rsidR="00582424" w:rsidRPr="00582424">
        <w:rPr>
          <w:rFonts w:ascii="Arial" w:hAnsi="Arial" w:cs="Arial"/>
          <w:sz w:val="16"/>
          <w:szCs w:val="16"/>
        </w:rPr>
        <w:t xml:space="preserve"> </w:t>
      </w:r>
      <w:hyperlink r:id="rId3" w:history="1">
        <w:r w:rsidR="00582424" w:rsidRPr="00582424">
          <w:rPr>
            <w:rStyle w:val="Hyperlink"/>
            <w:rFonts w:ascii="Arial" w:hAnsi="Arial" w:cs="Arial"/>
            <w:sz w:val="16"/>
            <w:szCs w:val="16"/>
          </w:rPr>
          <w:t>https://www.gov.uk/government/publications/heat-and-buildings-strategy</w:t>
        </w:r>
      </w:hyperlink>
      <w:r w:rsidR="0058242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BBFD" w14:textId="77777777" w:rsidR="00BA2927" w:rsidRDefault="00BA2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10173"/>
      <w:docPartObj>
        <w:docPartGallery w:val="Watermarks"/>
        <w:docPartUnique/>
      </w:docPartObj>
    </w:sdtPr>
    <w:sdtEndPr/>
    <w:sdtContent>
      <w:p w14:paraId="6007D7AA" w14:textId="3F4A3AA8" w:rsidR="00BA2927" w:rsidRDefault="00AD0D03">
        <w:pPr>
          <w:pStyle w:val="Header"/>
        </w:pPr>
        <w:r>
          <w:rPr>
            <w:noProof/>
          </w:rPr>
          <w:pict w14:anchorId="428F6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8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257C9A1C" w:rsidR="00A0128E" w:rsidRDefault="00A0128E">
    <w:pPr>
      <w:pStyle w:val="Header"/>
    </w:pPr>
    <w:r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77BC0DD8">
          <wp:simplePos x="0" y="0"/>
          <wp:positionH relativeFrom="column">
            <wp:posOffset>3944620</wp:posOffset>
          </wp:positionH>
          <wp:positionV relativeFrom="page">
            <wp:posOffset>572770</wp:posOffset>
          </wp:positionV>
          <wp:extent cx="2375535" cy="949960"/>
          <wp:effectExtent l="0" t="0" r="571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B06"/>
    <w:multiLevelType w:val="hybridMultilevel"/>
    <w:tmpl w:val="BD12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B53F2"/>
    <w:multiLevelType w:val="hybridMultilevel"/>
    <w:tmpl w:val="730AC02A"/>
    <w:lvl w:ilvl="0" w:tplc="7DF6A7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472"/>
    <w:multiLevelType w:val="hybridMultilevel"/>
    <w:tmpl w:val="AE72C56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552E80"/>
    <w:multiLevelType w:val="hybridMultilevel"/>
    <w:tmpl w:val="D7A45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65749"/>
    <w:multiLevelType w:val="hybridMultilevel"/>
    <w:tmpl w:val="C9A41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32F2D"/>
    <w:multiLevelType w:val="hybridMultilevel"/>
    <w:tmpl w:val="991AFC7C"/>
    <w:lvl w:ilvl="0" w:tplc="B510C5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C4759"/>
    <w:multiLevelType w:val="hybridMultilevel"/>
    <w:tmpl w:val="EB06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8742E"/>
    <w:multiLevelType w:val="multilevel"/>
    <w:tmpl w:val="1CF4F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EB2DBB"/>
    <w:multiLevelType w:val="hybridMultilevel"/>
    <w:tmpl w:val="F91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86228"/>
    <w:multiLevelType w:val="hybridMultilevel"/>
    <w:tmpl w:val="CA407EDA"/>
    <w:lvl w:ilvl="0" w:tplc="F5FC8014">
      <w:start w:val="1"/>
      <w:numFmt w:val="bullet"/>
      <w:lvlText w:val=""/>
      <w:lvlJc w:val="left"/>
      <w:pPr>
        <w:tabs>
          <w:tab w:val="num" w:pos="720"/>
        </w:tabs>
        <w:ind w:left="720" w:hanging="360"/>
      </w:pPr>
      <w:rPr>
        <w:rFonts w:ascii="Wingdings" w:hAnsi="Wingdings" w:hint="default"/>
      </w:rPr>
    </w:lvl>
    <w:lvl w:ilvl="1" w:tplc="0C8CC6B2" w:tentative="1">
      <w:start w:val="1"/>
      <w:numFmt w:val="bullet"/>
      <w:lvlText w:val=""/>
      <w:lvlJc w:val="left"/>
      <w:pPr>
        <w:tabs>
          <w:tab w:val="num" w:pos="1440"/>
        </w:tabs>
        <w:ind w:left="1440" w:hanging="360"/>
      </w:pPr>
      <w:rPr>
        <w:rFonts w:ascii="Wingdings" w:hAnsi="Wingdings" w:hint="default"/>
      </w:rPr>
    </w:lvl>
    <w:lvl w:ilvl="2" w:tplc="3EA4A8B8" w:tentative="1">
      <w:start w:val="1"/>
      <w:numFmt w:val="bullet"/>
      <w:lvlText w:val=""/>
      <w:lvlJc w:val="left"/>
      <w:pPr>
        <w:tabs>
          <w:tab w:val="num" w:pos="2160"/>
        </w:tabs>
        <w:ind w:left="2160" w:hanging="360"/>
      </w:pPr>
      <w:rPr>
        <w:rFonts w:ascii="Wingdings" w:hAnsi="Wingdings" w:hint="default"/>
      </w:rPr>
    </w:lvl>
    <w:lvl w:ilvl="3" w:tplc="41140F7C" w:tentative="1">
      <w:start w:val="1"/>
      <w:numFmt w:val="bullet"/>
      <w:lvlText w:val=""/>
      <w:lvlJc w:val="left"/>
      <w:pPr>
        <w:tabs>
          <w:tab w:val="num" w:pos="2880"/>
        </w:tabs>
        <w:ind w:left="2880" w:hanging="360"/>
      </w:pPr>
      <w:rPr>
        <w:rFonts w:ascii="Wingdings" w:hAnsi="Wingdings" w:hint="default"/>
      </w:rPr>
    </w:lvl>
    <w:lvl w:ilvl="4" w:tplc="8CF2A306" w:tentative="1">
      <w:start w:val="1"/>
      <w:numFmt w:val="bullet"/>
      <w:lvlText w:val=""/>
      <w:lvlJc w:val="left"/>
      <w:pPr>
        <w:tabs>
          <w:tab w:val="num" w:pos="3600"/>
        </w:tabs>
        <w:ind w:left="3600" w:hanging="360"/>
      </w:pPr>
      <w:rPr>
        <w:rFonts w:ascii="Wingdings" w:hAnsi="Wingdings" w:hint="default"/>
      </w:rPr>
    </w:lvl>
    <w:lvl w:ilvl="5" w:tplc="B28AC4A2" w:tentative="1">
      <w:start w:val="1"/>
      <w:numFmt w:val="bullet"/>
      <w:lvlText w:val=""/>
      <w:lvlJc w:val="left"/>
      <w:pPr>
        <w:tabs>
          <w:tab w:val="num" w:pos="4320"/>
        </w:tabs>
        <w:ind w:left="4320" w:hanging="360"/>
      </w:pPr>
      <w:rPr>
        <w:rFonts w:ascii="Wingdings" w:hAnsi="Wingdings" w:hint="default"/>
      </w:rPr>
    </w:lvl>
    <w:lvl w:ilvl="6" w:tplc="F07C5774" w:tentative="1">
      <w:start w:val="1"/>
      <w:numFmt w:val="bullet"/>
      <w:lvlText w:val=""/>
      <w:lvlJc w:val="left"/>
      <w:pPr>
        <w:tabs>
          <w:tab w:val="num" w:pos="5040"/>
        </w:tabs>
        <w:ind w:left="5040" w:hanging="360"/>
      </w:pPr>
      <w:rPr>
        <w:rFonts w:ascii="Wingdings" w:hAnsi="Wingdings" w:hint="default"/>
      </w:rPr>
    </w:lvl>
    <w:lvl w:ilvl="7" w:tplc="7F601378" w:tentative="1">
      <w:start w:val="1"/>
      <w:numFmt w:val="bullet"/>
      <w:lvlText w:val=""/>
      <w:lvlJc w:val="left"/>
      <w:pPr>
        <w:tabs>
          <w:tab w:val="num" w:pos="5760"/>
        </w:tabs>
        <w:ind w:left="5760" w:hanging="360"/>
      </w:pPr>
      <w:rPr>
        <w:rFonts w:ascii="Wingdings" w:hAnsi="Wingdings" w:hint="default"/>
      </w:rPr>
    </w:lvl>
    <w:lvl w:ilvl="8" w:tplc="57A0E9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D1D03"/>
    <w:multiLevelType w:val="hybridMultilevel"/>
    <w:tmpl w:val="5CAA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F3DEA"/>
    <w:multiLevelType w:val="hybridMultilevel"/>
    <w:tmpl w:val="2864EE0C"/>
    <w:lvl w:ilvl="0" w:tplc="34F4CB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86353"/>
    <w:multiLevelType w:val="hybridMultilevel"/>
    <w:tmpl w:val="5C582664"/>
    <w:lvl w:ilvl="0" w:tplc="7BCA7A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A227F"/>
    <w:multiLevelType w:val="hybridMultilevel"/>
    <w:tmpl w:val="68D2A9D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6C7603"/>
    <w:multiLevelType w:val="multilevel"/>
    <w:tmpl w:val="1CF4F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0873F2"/>
    <w:multiLevelType w:val="hybridMultilevel"/>
    <w:tmpl w:val="4F98EAE4"/>
    <w:lvl w:ilvl="0" w:tplc="CCF6A8E2">
      <w:start w:val="2021"/>
      <w:numFmt w:val="bullet"/>
      <w:lvlText w:val="-"/>
      <w:lvlJc w:val="left"/>
      <w:pPr>
        <w:ind w:left="414" w:hanging="360"/>
      </w:pPr>
      <w:rPr>
        <w:rFonts w:ascii="Arial" w:eastAsiaTheme="minorHAnsi" w:hAnsi="Arial" w:cs="Aria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28E21D97"/>
    <w:multiLevelType w:val="multilevel"/>
    <w:tmpl w:val="D172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CE61CA"/>
    <w:multiLevelType w:val="hybridMultilevel"/>
    <w:tmpl w:val="2724FC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A0705"/>
    <w:multiLevelType w:val="hybridMultilevel"/>
    <w:tmpl w:val="499C5B44"/>
    <w:lvl w:ilvl="0" w:tplc="A57C25BA">
      <w:start w:val="1"/>
      <w:numFmt w:val="bullet"/>
      <w:lvlText w:val="-"/>
      <w:lvlJc w:val="left"/>
      <w:pPr>
        <w:ind w:left="720" w:hanging="360"/>
      </w:pPr>
      <w:rPr>
        <w:rFonts w:ascii="Arial" w:eastAsia="Times New Roman"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A7E1E"/>
    <w:multiLevelType w:val="hybridMultilevel"/>
    <w:tmpl w:val="B65A0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FAB6BA2"/>
    <w:multiLevelType w:val="hybridMultilevel"/>
    <w:tmpl w:val="34FE4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C65A6"/>
    <w:multiLevelType w:val="hybridMultilevel"/>
    <w:tmpl w:val="B61AAB8E"/>
    <w:lvl w:ilvl="0" w:tplc="448C40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F162C"/>
    <w:multiLevelType w:val="hybridMultilevel"/>
    <w:tmpl w:val="A07051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D145E82"/>
    <w:multiLevelType w:val="hybridMultilevel"/>
    <w:tmpl w:val="C4A4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52E99"/>
    <w:multiLevelType w:val="hybridMultilevel"/>
    <w:tmpl w:val="88128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3F1AA5"/>
    <w:multiLevelType w:val="hybridMultilevel"/>
    <w:tmpl w:val="A614EF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40177F53"/>
    <w:multiLevelType w:val="hybridMultilevel"/>
    <w:tmpl w:val="66D09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E83B62"/>
    <w:multiLevelType w:val="hybridMultilevel"/>
    <w:tmpl w:val="FAAA0F0A"/>
    <w:lvl w:ilvl="0" w:tplc="35E296D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8E141E"/>
    <w:multiLevelType w:val="hybridMultilevel"/>
    <w:tmpl w:val="D0A27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1515E8"/>
    <w:multiLevelType w:val="hybridMultilevel"/>
    <w:tmpl w:val="2B72F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541937"/>
    <w:multiLevelType w:val="hybridMultilevel"/>
    <w:tmpl w:val="FCFC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590D56"/>
    <w:multiLevelType w:val="hybridMultilevel"/>
    <w:tmpl w:val="3DA67D60"/>
    <w:lvl w:ilvl="0" w:tplc="448C40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62BF6"/>
    <w:multiLevelType w:val="hybridMultilevel"/>
    <w:tmpl w:val="5F5A8944"/>
    <w:lvl w:ilvl="0" w:tplc="676E8596">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B65B23"/>
    <w:multiLevelType w:val="hybridMultilevel"/>
    <w:tmpl w:val="37D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27867"/>
    <w:multiLevelType w:val="hybridMultilevel"/>
    <w:tmpl w:val="0BC4B928"/>
    <w:lvl w:ilvl="0" w:tplc="03FE810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7482C"/>
    <w:multiLevelType w:val="hybridMultilevel"/>
    <w:tmpl w:val="E7D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22884"/>
    <w:multiLevelType w:val="hybridMultilevel"/>
    <w:tmpl w:val="0FF2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4012B"/>
    <w:multiLevelType w:val="hybridMultilevel"/>
    <w:tmpl w:val="1FAC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B5324"/>
    <w:multiLevelType w:val="hybridMultilevel"/>
    <w:tmpl w:val="A886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3132C"/>
    <w:multiLevelType w:val="hybridMultilevel"/>
    <w:tmpl w:val="175229DA"/>
    <w:lvl w:ilvl="0" w:tplc="594421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83F3D"/>
    <w:multiLevelType w:val="hybridMultilevel"/>
    <w:tmpl w:val="82E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C6C24"/>
    <w:multiLevelType w:val="hybridMultilevel"/>
    <w:tmpl w:val="CE542342"/>
    <w:lvl w:ilvl="0" w:tplc="08090001">
      <w:start w:val="1"/>
      <w:numFmt w:val="bullet"/>
      <w:lvlText w:val=""/>
      <w:lvlJc w:val="left"/>
      <w:pPr>
        <w:ind w:left="414" w:hanging="360"/>
      </w:pPr>
      <w:rPr>
        <w:rFonts w:ascii="Symbol" w:hAnsi="Symbol" w:hint="default"/>
      </w:rPr>
    </w:lvl>
    <w:lvl w:ilvl="1" w:tplc="FFFFFFFF" w:tentative="1">
      <w:start w:val="1"/>
      <w:numFmt w:val="bullet"/>
      <w:lvlText w:val="o"/>
      <w:lvlJc w:val="left"/>
      <w:pPr>
        <w:ind w:left="1134" w:hanging="360"/>
      </w:pPr>
      <w:rPr>
        <w:rFonts w:ascii="Courier New" w:hAnsi="Courier New" w:cs="Courier New" w:hint="default"/>
      </w:rPr>
    </w:lvl>
    <w:lvl w:ilvl="2" w:tplc="FFFFFFFF" w:tentative="1">
      <w:start w:val="1"/>
      <w:numFmt w:val="bullet"/>
      <w:lvlText w:val=""/>
      <w:lvlJc w:val="left"/>
      <w:pPr>
        <w:ind w:left="1854" w:hanging="360"/>
      </w:pPr>
      <w:rPr>
        <w:rFonts w:ascii="Wingdings" w:hAnsi="Wingdings" w:hint="default"/>
      </w:rPr>
    </w:lvl>
    <w:lvl w:ilvl="3" w:tplc="FFFFFFFF" w:tentative="1">
      <w:start w:val="1"/>
      <w:numFmt w:val="bullet"/>
      <w:lvlText w:val=""/>
      <w:lvlJc w:val="left"/>
      <w:pPr>
        <w:ind w:left="2574" w:hanging="360"/>
      </w:pPr>
      <w:rPr>
        <w:rFonts w:ascii="Symbol" w:hAnsi="Symbol" w:hint="default"/>
      </w:rPr>
    </w:lvl>
    <w:lvl w:ilvl="4" w:tplc="FFFFFFFF" w:tentative="1">
      <w:start w:val="1"/>
      <w:numFmt w:val="bullet"/>
      <w:lvlText w:val="o"/>
      <w:lvlJc w:val="left"/>
      <w:pPr>
        <w:ind w:left="3294" w:hanging="360"/>
      </w:pPr>
      <w:rPr>
        <w:rFonts w:ascii="Courier New" w:hAnsi="Courier New" w:cs="Courier New" w:hint="default"/>
      </w:rPr>
    </w:lvl>
    <w:lvl w:ilvl="5" w:tplc="FFFFFFFF" w:tentative="1">
      <w:start w:val="1"/>
      <w:numFmt w:val="bullet"/>
      <w:lvlText w:val=""/>
      <w:lvlJc w:val="left"/>
      <w:pPr>
        <w:ind w:left="4014" w:hanging="360"/>
      </w:pPr>
      <w:rPr>
        <w:rFonts w:ascii="Wingdings" w:hAnsi="Wingdings" w:hint="default"/>
      </w:rPr>
    </w:lvl>
    <w:lvl w:ilvl="6" w:tplc="FFFFFFFF" w:tentative="1">
      <w:start w:val="1"/>
      <w:numFmt w:val="bullet"/>
      <w:lvlText w:val=""/>
      <w:lvlJc w:val="left"/>
      <w:pPr>
        <w:ind w:left="4734" w:hanging="360"/>
      </w:pPr>
      <w:rPr>
        <w:rFonts w:ascii="Symbol" w:hAnsi="Symbol" w:hint="default"/>
      </w:rPr>
    </w:lvl>
    <w:lvl w:ilvl="7" w:tplc="FFFFFFFF" w:tentative="1">
      <w:start w:val="1"/>
      <w:numFmt w:val="bullet"/>
      <w:lvlText w:val="o"/>
      <w:lvlJc w:val="left"/>
      <w:pPr>
        <w:ind w:left="5454" w:hanging="360"/>
      </w:pPr>
      <w:rPr>
        <w:rFonts w:ascii="Courier New" w:hAnsi="Courier New" w:cs="Courier New" w:hint="default"/>
      </w:rPr>
    </w:lvl>
    <w:lvl w:ilvl="8" w:tplc="FFFFFFFF" w:tentative="1">
      <w:start w:val="1"/>
      <w:numFmt w:val="bullet"/>
      <w:lvlText w:val=""/>
      <w:lvlJc w:val="left"/>
      <w:pPr>
        <w:ind w:left="6174" w:hanging="360"/>
      </w:pPr>
      <w:rPr>
        <w:rFonts w:ascii="Wingdings" w:hAnsi="Wingdings" w:hint="default"/>
      </w:rPr>
    </w:lvl>
  </w:abstractNum>
  <w:abstractNum w:abstractNumId="43" w15:restartNumberingAfterBreak="0">
    <w:nsid w:val="74DC6DD9"/>
    <w:multiLevelType w:val="hybridMultilevel"/>
    <w:tmpl w:val="9D265F20"/>
    <w:lvl w:ilvl="0" w:tplc="86C23264">
      <w:start w:val="20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60BF1"/>
    <w:multiLevelType w:val="hybridMultilevel"/>
    <w:tmpl w:val="B81C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CE6516"/>
    <w:multiLevelType w:val="hybridMultilevel"/>
    <w:tmpl w:val="9A9C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F28E7"/>
    <w:multiLevelType w:val="hybridMultilevel"/>
    <w:tmpl w:val="A41A0F1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EB3B42"/>
    <w:multiLevelType w:val="hybridMultilevel"/>
    <w:tmpl w:val="53FEA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29"/>
  </w:num>
  <w:num w:numId="4">
    <w:abstractNumId w:val="39"/>
  </w:num>
  <w:num w:numId="5">
    <w:abstractNumId w:va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17"/>
  </w:num>
  <w:num w:numId="10">
    <w:abstractNumId w:val="32"/>
  </w:num>
  <w:num w:numId="11">
    <w:abstractNumId w:val="22"/>
  </w:num>
  <w:num w:numId="12">
    <w:abstractNumId w:val="13"/>
  </w:num>
  <w:num w:numId="13">
    <w:abstractNumId w:val="28"/>
  </w:num>
  <w:num w:numId="14">
    <w:abstractNumId w:val="27"/>
  </w:num>
  <w:num w:numId="15">
    <w:abstractNumId w:val="33"/>
  </w:num>
  <w:num w:numId="16">
    <w:abstractNumId w:val="36"/>
  </w:num>
  <w:num w:numId="17">
    <w:abstractNumId w:val="21"/>
  </w:num>
  <w:num w:numId="18">
    <w:abstractNumId w:val="11"/>
  </w:num>
  <w:num w:numId="19">
    <w:abstractNumId w:val="1"/>
  </w:num>
  <w:num w:numId="20">
    <w:abstractNumId w:val="12"/>
  </w:num>
  <w:num w:numId="21">
    <w:abstractNumId w:val="46"/>
    <w:lvlOverride w:ilvl="0">
      <w:startOverride w:val="1"/>
    </w:lvlOverride>
    <w:lvlOverride w:ilvl="1"/>
    <w:lvlOverride w:ilvl="2"/>
    <w:lvlOverride w:ilvl="3"/>
    <w:lvlOverride w:ilvl="4"/>
    <w:lvlOverride w:ilvl="5"/>
    <w:lvlOverride w:ilvl="6"/>
    <w:lvlOverride w:ilvl="7"/>
    <w:lvlOverride w:ilvl="8"/>
  </w:num>
  <w:num w:numId="22">
    <w:abstractNumId w:val="44"/>
  </w:num>
  <w:num w:numId="23">
    <w:abstractNumId w:val="37"/>
  </w:num>
  <w:num w:numId="24">
    <w:abstractNumId w:val="30"/>
  </w:num>
  <w:num w:numId="25">
    <w:abstractNumId w:val="34"/>
  </w:num>
  <w:num w:numId="26">
    <w:abstractNumId w:val="40"/>
  </w:num>
  <w:num w:numId="27">
    <w:abstractNumId w:val="15"/>
  </w:num>
  <w:num w:numId="28">
    <w:abstractNumId w:val="47"/>
  </w:num>
  <w:num w:numId="29">
    <w:abstractNumId w:val="19"/>
  </w:num>
  <w:num w:numId="30">
    <w:abstractNumId w:val="5"/>
  </w:num>
  <w:num w:numId="31">
    <w:abstractNumId w:val="0"/>
  </w:num>
  <w:num w:numId="32">
    <w:abstractNumId w:val="35"/>
  </w:num>
  <w:num w:numId="33">
    <w:abstractNumId w:val="6"/>
  </w:num>
  <w:num w:numId="34">
    <w:abstractNumId w:val="24"/>
  </w:num>
  <w:num w:numId="35">
    <w:abstractNumId w:val="41"/>
  </w:num>
  <w:num w:numId="36">
    <w:abstractNumId w:val="4"/>
  </w:num>
  <w:num w:numId="37">
    <w:abstractNumId w:val="26"/>
  </w:num>
  <w:num w:numId="38">
    <w:abstractNumId w:val="45"/>
  </w:num>
  <w:num w:numId="39">
    <w:abstractNumId w:val="38"/>
  </w:num>
  <w:num w:numId="40">
    <w:abstractNumId w:val="14"/>
  </w:num>
  <w:num w:numId="41">
    <w:abstractNumId w:val="2"/>
  </w:num>
  <w:num w:numId="42">
    <w:abstractNumId w:val="7"/>
  </w:num>
  <w:num w:numId="43">
    <w:abstractNumId w:val="43"/>
  </w:num>
  <w:num w:numId="44">
    <w:abstractNumId w:val="23"/>
  </w:num>
  <w:num w:numId="45">
    <w:abstractNumId w:val="16"/>
  </w:num>
  <w:num w:numId="46">
    <w:abstractNumId w:val="42"/>
  </w:num>
  <w:num w:numId="47">
    <w:abstractNumId w:val="31"/>
  </w:num>
  <w:num w:numId="48">
    <w:abstractNumId w:val="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8898"/>
    <o:shapelayout v:ext="edit">
      <o:idmap v:ext="edit" data="20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031C"/>
    <w:rsid w:val="00001C6B"/>
    <w:rsid w:val="00002CE2"/>
    <w:rsid w:val="00004778"/>
    <w:rsid w:val="00005B82"/>
    <w:rsid w:val="00006CDC"/>
    <w:rsid w:val="000101DE"/>
    <w:rsid w:val="000104C2"/>
    <w:rsid w:val="0001142E"/>
    <w:rsid w:val="0001365C"/>
    <w:rsid w:val="00016A4F"/>
    <w:rsid w:val="0001749F"/>
    <w:rsid w:val="000204C1"/>
    <w:rsid w:val="000218AA"/>
    <w:rsid w:val="00025759"/>
    <w:rsid w:val="00025862"/>
    <w:rsid w:val="00031324"/>
    <w:rsid w:val="00031A53"/>
    <w:rsid w:val="00032ED7"/>
    <w:rsid w:val="00033439"/>
    <w:rsid w:val="0003386B"/>
    <w:rsid w:val="00033870"/>
    <w:rsid w:val="000338FB"/>
    <w:rsid w:val="00034035"/>
    <w:rsid w:val="000352FE"/>
    <w:rsid w:val="000355E2"/>
    <w:rsid w:val="000372B4"/>
    <w:rsid w:val="00043BBB"/>
    <w:rsid w:val="000457FE"/>
    <w:rsid w:val="000463A7"/>
    <w:rsid w:val="00052993"/>
    <w:rsid w:val="000538E0"/>
    <w:rsid w:val="000558F7"/>
    <w:rsid w:val="00055AB2"/>
    <w:rsid w:val="00055EF3"/>
    <w:rsid w:val="00056AE5"/>
    <w:rsid w:val="00063EBA"/>
    <w:rsid w:val="0006535D"/>
    <w:rsid w:val="000654B3"/>
    <w:rsid w:val="00067BC0"/>
    <w:rsid w:val="000763FA"/>
    <w:rsid w:val="000804F6"/>
    <w:rsid w:val="000806E9"/>
    <w:rsid w:val="00082545"/>
    <w:rsid w:val="00083E22"/>
    <w:rsid w:val="00084F80"/>
    <w:rsid w:val="00091094"/>
    <w:rsid w:val="000935A1"/>
    <w:rsid w:val="00095EC1"/>
    <w:rsid w:val="000A3787"/>
    <w:rsid w:val="000A48D0"/>
    <w:rsid w:val="000A6071"/>
    <w:rsid w:val="000B04D0"/>
    <w:rsid w:val="000B0859"/>
    <w:rsid w:val="000B15DD"/>
    <w:rsid w:val="000B2DBD"/>
    <w:rsid w:val="000B340F"/>
    <w:rsid w:val="000B39E8"/>
    <w:rsid w:val="000B4229"/>
    <w:rsid w:val="000B4793"/>
    <w:rsid w:val="000B6F82"/>
    <w:rsid w:val="000B75FF"/>
    <w:rsid w:val="000C07E2"/>
    <w:rsid w:val="000C130F"/>
    <w:rsid w:val="000C43F3"/>
    <w:rsid w:val="000C5575"/>
    <w:rsid w:val="000C59A9"/>
    <w:rsid w:val="000C6677"/>
    <w:rsid w:val="000C6AAC"/>
    <w:rsid w:val="000C7A9D"/>
    <w:rsid w:val="000D3274"/>
    <w:rsid w:val="000D50EB"/>
    <w:rsid w:val="000E250B"/>
    <w:rsid w:val="000E38F7"/>
    <w:rsid w:val="000E6243"/>
    <w:rsid w:val="000E6C36"/>
    <w:rsid w:val="000E726A"/>
    <w:rsid w:val="000F13AB"/>
    <w:rsid w:val="000F2F8A"/>
    <w:rsid w:val="000F6524"/>
    <w:rsid w:val="000F6ACB"/>
    <w:rsid w:val="00101559"/>
    <w:rsid w:val="0010162F"/>
    <w:rsid w:val="00102595"/>
    <w:rsid w:val="00104D25"/>
    <w:rsid w:val="001055CA"/>
    <w:rsid w:val="00106D8E"/>
    <w:rsid w:val="00107BC4"/>
    <w:rsid w:val="00107BDC"/>
    <w:rsid w:val="0011031A"/>
    <w:rsid w:val="001128AE"/>
    <w:rsid w:val="00114592"/>
    <w:rsid w:val="00115A74"/>
    <w:rsid w:val="0012076B"/>
    <w:rsid w:val="0012102D"/>
    <w:rsid w:val="00124A07"/>
    <w:rsid w:val="00124F79"/>
    <w:rsid w:val="00127F56"/>
    <w:rsid w:val="00130923"/>
    <w:rsid w:val="00132512"/>
    <w:rsid w:val="001335B3"/>
    <w:rsid w:val="0013518E"/>
    <w:rsid w:val="00135288"/>
    <w:rsid w:val="00135F6C"/>
    <w:rsid w:val="0013693F"/>
    <w:rsid w:val="00137949"/>
    <w:rsid w:val="00141012"/>
    <w:rsid w:val="001411F0"/>
    <w:rsid w:val="001444DA"/>
    <w:rsid w:val="00147924"/>
    <w:rsid w:val="00147D36"/>
    <w:rsid w:val="00150613"/>
    <w:rsid w:val="00150ADE"/>
    <w:rsid w:val="00153400"/>
    <w:rsid w:val="00153EF8"/>
    <w:rsid w:val="00157231"/>
    <w:rsid w:val="00161C1C"/>
    <w:rsid w:val="0016401E"/>
    <w:rsid w:val="00164034"/>
    <w:rsid w:val="00166588"/>
    <w:rsid w:val="001703B9"/>
    <w:rsid w:val="00171277"/>
    <w:rsid w:val="00171FA9"/>
    <w:rsid w:val="0017271C"/>
    <w:rsid w:val="0017317B"/>
    <w:rsid w:val="00176A38"/>
    <w:rsid w:val="0017716D"/>
    <w:rsid w:val="00180234"/>
    <w:rsid w:val="00181B37"/>
    <w:rsid w:val="00187708"/>
    <w:rsid w:val="001903F1"/>
    <w:rsid w:val="00192E9C"/>
    <w:rsid w:val="001936D0"/>
    <w:rsid w:val="0019579E"/>
    <w:rsid w:val="001958E6"/>
    <w:rsid w:val="001A052B"/>
    <w:rsid w:val="001A084A"/>
    <w:rsid w:val="001A16DF"/>
    <w:rsid w:val="001A1BC5"/>
    <w:rsid w:val="001A3C7A"/>
    <w:rsid w:val="001A7DB6"/>
    <w:rsid w:val="001B1758"/>
    <w:rsid w:val="001B53B1"/>
    <w:rsid w:val="001B5E79"/>
    <w:rsid w:val="001B6F25"/>
    <w:rsid w:val="001C1505"/>
    <w:rsid w:val="001C2975"/>
    <w:rsid w:val="001C2BAE"/>
    <w:rsid w:val="001C3951"/>
    <w:rsid w:val="001C3BF2"/>
    <w:rsid w:val="001C3E37"/>
    <w:rsid w:val="001C6634"/>
    <w:rsid w:val="001C75C9"/>
    <w:rsid w:val="001D0D8D"/>
    <w:rsid w:val="001D1141"/>
    <w:rsid w:val="001D11B0"/>
    <w:rsid w:val="001D2516"/>
    <w:rsid w:val="001D3A10"/>
    <w:rsid w:val="001D4A49"/>
    <w:rsid w:val="001E4EF8"/>
    <w:rsid w:val="001F24FC"/>
    <w:rsid w:val="001F25B0"/>
    <w:rsid w:val="001F6B1E"/>
    <w:rsid w:val="002017E0"/>
    <w:rsid w:val="00203DCC"/>
    <w:rsid w:val="002061A9"/>
    <w:rsid w:val="002112AD"/>
    <w:rsid w:val="00214C54"/>
    <w:rsid w:val="002178AC"/>
    <w:rsid w:val="00217ED4"/>
    <w:rsid w:val="00223712"/>
    <w:rsid w:val="00223DBA"/>
    <w:rsid w:val="0023192E"/>
    <w:rsid w:val="00231ABD"/>
    <w:rsid w:val="00232965"/>
    <w:rsid w:val="00233308"/>
    <w:rsid w:val="00241627"/>
    <w:rsid w:val="002426FB"/>
    <w:rsid w:val="002427C9"/>
    <w:rsid w:val="00245043"/>
    <w:rsid w:val="00247F08"/>
    <w:rsid w:val="00250170"/>
    <w:rsid w:val="002509D0"/>
    <w:rsid w:val="00254C66"/>
    <w:rsid w:val="002578CD"/>
    <w:rsid w:val="00261177"/>
    <w:rsid w:val="00265021"/>
    <w:rsid w:val="00266F32"/>
    <w:rsid w:val="002704CD"/>
    <w:rsid w:val="002707D7"/>
    <w:rsid w:val="00276988"/>
    <w:rsid w:val="00281541"/>
    <w:rsid w:val="00281E86"/>
    <w:rsid w:val="0028477C"/>
    <w:rsid w:val="002852FF"/>
    <w:rsid w:val="0028530A"/>
    <w:rsid w:val="00287305"/>
    <w:rsid w:val="002875B0"/>
    <w:rsid w:val="00287C4F"/>
    <w:rsid w:val="00290D1C"/>
    <w:rsid w:val="002927A8"/>
    <w:rsid w:val="00293032"/>
    <w:rsid w:val="002941A2"/>
    <w:rsid w:val="00294C5E"/>
    <w:rsid w:val="00294CE7"/>
    <w:rsid w:val="00297C56"/>
    <w:rsid w:val="002A15B6"/>
    <w:rsid w:val="002A1F9A"/>
    <w:rsid w:val="002A21F5"/>
    <w:rsid w:val="002A2858"/>
    <w:rsid w:val="002A426E"/>
    <w:rsid w:val="002B1CD9"/>
    <w:rsid w:val="002B22C2"/>
    <w:rsid w:val="002B4484"/>
    <w:rsid w:val="002B6A2B"/>
    <w:rsid w:val="002B7939"/>
    <w:rsid w:val="002C00D1"/>
    <w:rsid w:val="002C1FA7"/>
    <w:rsid w:val="002C3A72"/>
    <w:rsid w:val="002C4308"/>
    <w:rsid w:val="002C73D9"/>
    <w:rsid w:val="002D087C"/>
    <w:rsid w:val="002D109E"/>
    <w:rsid w:val="002D118A"/>
    <w:rsid w:val="002D14FF"/>
    <w:rsid w:val="002D1A30"/>
    <w:rsid w:val="002D22AA"/>
    <w:rsid w:val="002D29F7"/>
    <w:rsid w:val="002D438D"/>
    <w:rsid w:val="002D48DB"/>
    <w:rsid w:val="002D6369"/>
    <w:rsid w:val="002D7573"/>
    <w:rsid w:val="002D7FDA"/>
    <w:rsid w:val="002E076E"/>
    <w:rsid w:val="002E1C1B"/>
    <w:rsid w:val="002E5143"/>
    <w:rsid w:val="002E612B"/>
    <w:rsid w:val="002E672B"/>
    <w:rsid w:val="002F214A"/>
    <w:rsid w:val="002F237B"/>
    <w:rsid w:val="002F3C07"/>
    <w:rsid w:val="002F7080"/>
    <w:rsid w:val="003001D4"/>
    <w:rsid w:val="00304A65"/>
    <w:rsid w:val="003064D6"/>
    <w:rsid w:val="00306991"/>
    <w:rsid w:val="00314025"/>
    <w:rsid w:val="0031428A"/>
    <w:rsid w:val="00314548"/>
    <w:rsid w:val="00315D3A"/>
    <w:rsid w:val="0031648C"/>
    <w:rsid w:val="00316F2E"/>
    <w:rsid w:val="00317EE6"/>
    <w:rsid w:val="00322789"/>
    <w:rsid w:val="00322E75"/>
    <w:rsid w:val="00323A30"/>
    <w:rsid w:val="00324E86"/>
    <w:rsid w:val="0033018E"/>
    <w:rsid w:val="00332CE2"/>
    <w:rsid w:val="00333A14"/>
    <w:rsid w:val="00334631"/>
    <w:rsid w:val="0034068D"/>
    <w:rsid w:val="00344652"/>
    <w:rsid w:val="0034488E"/>
    <w:rsid w:val="0034569D"/>
    <w:rsid w:val="003470A2"/>
    <w:rsid w:val="0035230C"/>
    <w:rsid w:val="00353DA9"/>
    <w:rsid w:val="0035410B"/>
    <w:rsid w:val="00354C21"/>
    <w:rsid w:val="00354DA1"/>
    <w:rsid w:val="00356725"/>
    <w:rsid w:val="00357001"/>
    <w:rsid w:val="003606F8"/>
    <w:rsid w:val="003669D6"/>
    <w:rsid w:val="00367EBD"/>
    <w:rsid w:val="00367EE0"/>
    <w:rsid w:val="00370C46"/>
    <w:rsid w:val="003713D0"/>
    <w:rsid w:val="003715CA"/>
    <w:rsid w:val="003734AC"/>
    <w:rsid w:val="003757CA"/>
    <w:rsid w:val="003760A8"/>
    <w:rsid w:val="0038054E"/>
    <w:rsid w:val="003862CB"/>
    <w:rsid w:val="00386626"/>
    <w:rsid w:val="00392274"/>
    <w:rsid w:val="003C1FC0"/>
    <w:rsid w:val="003C6D01"/>
    <w:rsid w:val="003C7FF8"/>
    <w:rsid w:val="003D5666"/>
    <w:rsid w:val="003D7F62"/>
    <w:rsid w:val="003E263F"/>
    <w:rsid w:val="003E4954"/>
    <w:rsid w:val="003E5A90"/>
    <w:rsid w:val="003E6456"/>
    <w:rsid w:val="003E6BC7"/>
    <w:rsid w:val="003F0E99"/>
    <w:rsid w:val="003F18E5"/>
    <w:rsid w:val="003F2113"/>
    <w:rsid w:val="003F4D55"/>
    <w:rsid w:val="003F5127"/>
    <w:rsid w:val="00400BED"/>
    <w:rsid w:val="00401702"/>
    <w:rsid w:val="00404274"/>
    <w:rsid w:val="00404821"/>
    <w:rsid w:val="00404F5E"/>
    <w:rsid w:val="004054B0"/>
    <w:rsid w:val="004077CF"/>
    <w:rsid w:val="00407969"/>
    <w:rsid w:val="004107E1"/>
    <w:rsid w:val="00410AE0"/>
    <w:rsid w:val="004114D6"/>
    <w:rsid w:val="004127BD"/>
    <w:rsid w:val="00413450"/>
    <w:rsid w:val="00415242"/>
    <w:rsid w:val="00417524"/>
    <w:rsid w:val="00417843"/>
    <w:rsid w:val="00422108"/>
    <w:rsid w:val="00422354"/>
    <w:rsid w:val="00423ECF"/>
    <w:rsid w:val="004252CC"/>
    <w:rsid w:val="0042563A"/>
    <w:rsid w:val="00425D67"/>
    <w:rsid w:val="00426537"/>
    <w:rsid w:val="00427F03"/>
    <w:rsid w:val="004309D9"/>
    <w:rsid w:val="0043270C"/>
    <w:rsid w:val="00434EDB"/>
    <w:rsid w:val="00435A79"/>
    <w:rsid w:val="00436859"/>
    <w:rsid w:val="004369E5"/>
    <w:rsid w:val="00436A68"/>
    <w:rsid w:val="00441420"/>
    <w:rsid w:val="0044247C"/>
    <w:rsid w:val="004447C0"/>
    <w:rsid w:val="004448EE"/>
    <w:rsid w:val="0044730A"/>
    <w:rsid w:val="004543FD"/>
    <w:rsid w:val="00454526"/>
    <w:rsid w:val="00455840"/>
    <w:rsid w:val="00455A40"/>
    <w:rsid w:val="004600E9"/>
    <w:rsid w:val="00460116"/>
    <w:rsid w:val="00464BC8"/>
    <w:rsid w:val="00464C4D"/>
    <w:rsid w:val="004660AB"/>
    <w:rsid w:val="0046642D"/>
    <w:rsid w:val="00470E96"/>
    <w:rsid w:val="0047397F"/>
    <w:rsid w:val="00473DF5"/>
    <w:rsid w:val="00473FA6"/>
    <w:rsid w:val="004744B8"/>
    <w:rsid w:val="004768F3"/>
    <w:rsid w:val="00476C7A"/>
    <w:rsid w:val="004770F1"/>
    <w:rsid w:val="00480294"/>
    <w:rsid w:val="00480A97"/>
    <w:rsid w:val="00481C05"/>
    <w:rsid w:val="00485B23"/>
    <w:rsid w:val="00486153"/>
    <w:rsid w:val="00487707"/>
    <w:rsid w:val="00491A49"/>
    <w:rsid w:val="00491F40"/>
    <w:rsid w:val="004951DD"/>
    <w:rsid w:val="00496DD0"/>
    <w:rsid w:val="004A0DAE"/>
    <w:rsid w:val="004A3151"/>
    <w:rsid w:val="004A40F2"/>
    <w:rsid w:val="004A73D0"/>
    <w:rsid w:val="004B07EF"/>
    <w:rsid w:val="004B5876"/>
    <w:rsid w:val="004B721E"/>
    <w:rsid w:val="004B7230"/>
    <w:rsid w:val="004B7A7E"/>
    <w:rsid w:val="004C05DF"/>
    <w:rsid w:val="004C1884"/>
    <w:rsid w:val="004C1930"/>
    <w:rsid w:val="004C210D"/>
    <w:rsid w:val="004C32AE"/>
    <w:rsid w:val="004C35BF"/>
    <w:rsid w:val="004C7643"/>
    <w:rsid w:val="004D3409"/>
    <w:rsid w:val="004D3520"/>
    <w:rsid w:val="004D46CB"/>
    <w:rsid w:val="004D788E"/>
    <w:rsid w:val="004D7C06"/>
    <w:rsid w:val="004E0CD3"/>
    <w:rsid w:val="004E3A42"/>
    <w:rsid w:val="004E454B"/>
    <w:rsid w:val="004E47FA"/>
    <w:rsid w:val="004E51E6"/>
    <w:rsid w:val="004F22E2"/>
    <w:rsid w:val="004F5394"/>
    <w:rsid w:val="004F58E2"/>
    <w:rsid w:val="004F5AC4"/>
    <w:rsid w:val="004F5FEA"/>
    <w:rsid w:val="005002B3"/>
    <w:rsid w:val="00500D4D"/>
    <w:rsid w:val="005016E6"/>
    <w:rsid w:val="0050210D"/>
    <w:rsid w:val="005028F8"/>
    <w:rsid w:val="00503375"/>
    <w:rsid w:val="005034A0"/>
    <w:rsid w:val="00503CD5"/>
    <w:rsid w:val="00504A9F"/>
    <w:rsid w:val="00504D7C"/>
    <w:rsid w:val="0050653F"/>
    <w:rsid w:val="00507BCE"/>
    <w:rsid w:val="0051171F"/>
    <w:rsid w:val="00511BB8"/>
    <w:rsid w:val="005150D9"/>
    <w:rsid w:val="00524A29"/>
    <w:rsid w:val="00525070"/>
    <w:rsid w:val="005271EC"/>
    <w:rsid w:val="0053475E"/>
    <w:rsid w:val="00534EE6"/>
    <w:rsid w:val="0053504F"/>
    <w:rsid w:val="005352B3"/>
    <w:rsid w:val="00535D9D"/>
    <w:rsid w:val="00543705"/>
    <w:rsid w:val="0054427E"/>
    <w:rsid w:val="00545107"/>
    <w:rsid w:val="005451C1"/>
    <w:rsid w:val="0054676B"/>
    <w:rsid w:val="00546EAF"/>
    <w:rsid w:val="00550485"/>
    <w:rsid w:val="00550C65"/>
    <w:rsid w:val="00552EDF"/>
    <w:rsid w:val="00554017"/>
    <w:rsid w:val="00554517"/>
    <w:rsid w:val="005574CF"/>
    <w:rsid w:val="005608DF"/>
    <w:rsid w:val="00563C81"/>
    <w:rsid w:val="005715F4"/>
    <w:rsid w:val="00573A6B"/>
    <w:rsid w:val="005809B6"/>
    <w:rsid w:val="00581ABE"/>
    <w:rsid w:val="00582424"/>
    <w:rsid w:val="00586303"/>
    <w:rsid w:val="00586747"/>
    <w:rsid w:val="00586A5D"/>
    <w:rsid w:val="005906D0"/>
    <w:rsid w:val="00591AFF"/>
    <w:rsid w:val="005949A6"/>
    <w:rsid w:val="005A10CC"/>
    <w:rsid w:val="005A180B"/>
    <w:rsid w:val="005A1AF4"/>
    <w:rsid w:val="005A1BFA"/>
    <w:rsid w:val="005A4DDD"/>
    <w:rsid w:val="005A7975"/>
    <w:rsid w:val="005B380A"/>
    <w:rsid w:val="005B3B6E"/>
    <w:rsid w:val="005B4692"/>
    <w:rsid w:val="005B5385"/>
    <w:rsid w:val="005B64AC"/>
    <w:rsid w:val="005B6787"/>
    <w:rsid w:val="005B7984"/>
    <w:rsid w:val="005C015F"/>
    <w:rsid w:val="005C0FD4"/>
    <w:rsid w:val="005C100D"/>
    <w:rsid w:val="005C5111"/>
    <w:rsid w:val="005C6D2E"/>
    <w:rsid w:val="005E232A"/>
    <w:rsid w:val="005E50D9"/>
    <w:rsid w:val="005E77EC"/>
    <w:rsid w:val="005F35B3"/>
    <w:rsid w:val="005F3C75"/>
    <w:rsid w:val="005F3D23"/>
    <w:rsid w:val="00600164"/>
    <w:rsid w:val="0060045A"/>
    <w:rsid w:val="00603DE1"/>
    <w:rsid w:val="00604909"/>
    <w:rsid w:val="006070D6"/>
    <w:rsid w:val="0061032F"/>
    <w:rsid w:val="00611183"/>
    <w:rsid w:val="006117D4"/>
    <w:rsid w:val="00614D80"/>
    <w:rsid w:val="00616805"/>
    <w:rsid w:val="006207C9"/>
    <w:rsid w:val="006239E3"/>
    <w:rsid w:val="00625F74"/>
    <w:rsid w:val="00633022"/>
    <w:rsid w:val="006362FA"/>
    <w:rsid w:val="006408AE"/>
    <w:rsid w:val="006427E5"/>
    <w:rsid w:val="00642D56"/>
    <w:rsid w:val="00646602"/>
    <w:rsid w:val="00651292"/>
    <w:rsid w:val="00651CF4"/>
    <w:rsid w:val="0065345E"/>
    <w:rsid w:val="0065358F"/>
    <w:rsid w:val="00653B17"/>
    <w:rsid w:val="00656342"/>
    <w:rsid w:val="00656373"/>
    <w:rsid w:val="00661D4D"/>
    <w:rsid w:val="00662089"/>
    <w:rsid w:val="006652E2"/>
    <w:rsid w:val="006706C3"/>
    <w:rsid w:val="006707F3"/>
    <w:rsid w:val="00671787"/>
    <w:rsid w:val="006726F1"/>
    <w:rsid w:val="00673242"/>
    <w:rsid w:val="00673602"/>
    <w:rsid w:val="00677EC3"/>
    <w:rsid w:val="006806AC"/>
    <w:rsid w:val="006817D9"/>
    <w:rsid w:val="00681870"/>
    <w:rsid w:val="0068283B"/>
    <w:rsid w:val="006866DA"/>
    <w:rsid w:val="0068762C"/>
    <w:rsid w:val="006918EE"/>
    <w:rsid w:val="00691AD5"/>
    <w:rsid w:val="0069371F"/>
    <w:rsid w:val="00695311"/>
    <w:rsid w:val="00696BD9"/>
    <w:rsid w:val="00696CDE"/>
    <w:rsid w:val="006A23E4"/>
    <w:rsid w:val="006A27C7"/>
    <w:rsid w:val="006A3E4A"/>
    <w:rsid w:val="006A4BEF"/>
    <w:rsid w:val="006A53A7"/>
    <w:rsid w:val="006A62D3"/>
    <w:rsid w:val="006A7026"/>
    <w:rsid w:val="006A7386"/>
    <w:rsid w:val="006B139F"/>
    <w:rsid w:val="006B2604"/>
    <w:rsid w:val="006B2921"/>
    <w:rsid w:val="006B68A3"/>
    <w:rsid w:val="006C2AD4"/>
    <w:rsid w:val="006C4150"/>
    <w:rsid w:val="006C4398"/>
    <w:rsid w:val="006C5A63"/>
    <w:rsid w:val="006C7F5D"/>
    <w:rsid w:val="006D3CF1"/>
    <w:rsid w:val="006D5C30"/>
    <w:rsid w:val="006D7DD5"/>
    <w:rsid w:val="006E02A6"/>
    <w:rsid w:val="006E02B0"/>
    <w:rsid w:val="006E1064"/>
    <w:rsid w:val="006E14D7"/>
    <w:rsid w:val="006E190E"/>
    <w:rsid w:val="006E1F5D"/>
    <w:rsid w:val="006E339B"/>
    <w:rsid w:val="006E37CE"/>
    <w:rsid w:val="006E51CF"/>
    <w:rsid w:val="006F24E3"/>
    <w:rsid w:val="006F2FCF"/>
    <w:rsid w:val="006F3D88"/>
    <w:rsid w:val="006F3E58"/>
    <w:rsid w:val="006F4697"/>
    <w:rsid w:val="006F4ADE"/>
    <w:rsid w:val="006F7192"/>
    <w:rsid w:val="007009B3"/>
    <w:rsid w:val="00701CDE"/>
    <w:rsid w:val="00701EA6"/>
    <w:rsid w:val="00702795"/>
    <w:rsid w:val="0070527D"/>
    <w:rsid w:val="00706284"/>
    <w:rsid w:val="00706E03"/>
    <w:rsid w:val="007103CB"/>
    <w:rsid w:val="00711DEA"/>
    <w:rsid w:val="00713921"/>
    <w:rsid w:val="00714211"/>
    <w:rsid w:val="00714DF6"/>
    <w:rsid w:val="007220A6"/>
    <w:rsid w:val="007226B5"/>
    <w:rsid w:val="00722B3A"/>
    <w:rsid w:val="00723491"/>
    <w:rsid w:val="00723984"/>
    <w:rsid w:val="00727D91"/>
    <w:rsid w:val="00730DC9"/>
    <w:rsid w:val="0073111A"/>
    <w:rsid w:val="00735013"/>
    <w:rsid w:val="00736DDF"/>
    <w:rsid w:val="00741AFC"/>
    <w:rsid w:val="007538E9"/>
    <w:rsid w:val="00753D40"/>
    <w:rsid w:val="00756752"/>
    <w:rsid w:val="00760599"/>
    <w:rsid w:val="00760DC6"/>
    <w:rsid w:val="00760E98"/>
    <w:rsid w:val="00764BBB"/>
    <w:rsid w:val="0076622E"/>
    <w:rsid w:val="0076684B"/>
    <w:rsid w:val="007672A6"/>
    <w:rsid w:val="00770B91"/>
    <w:rsid w:val="00771BDD"/>
    <w:rsid w:val="0077315C"/>
    <w:rsid w:val="007741F8"/>
    <w:rsid w:val="00774E4C"/>
    <w:rsid w:val="00775F8B"/>
    <w:rsid w:val="007803F9"/>
    <w:rsid w:val="00781866"/>
    <w:rsid w:val="00781C8E"/>
    <w:rsid w:val="007825CE"/>
    <w:rsid w:val="00784388"/>
    <w:rsid w:val="0078537D"/>
    <w:rsid w:val="00785A36"/>
    <w:rsid w:val="00785A44"/>
    <w:rsid w:val="00790879"/>
    <w:rsid w:val="00790C69"/>
    <w:rsid w:val="00791308"/>
    <w:rsid w:val="007913C9"/>
    <w:rsid w:val="00792195"/>
    <w:rsid w:val="00792CFB"/>
    <w:rsid w:val="00794752"/>
    <w:rsid w:val="007973F9"/>
    <w:rsid w:val="007979A2"/>
    <w:rsid w:val="007A0718"/>
    <w:rsid w:val="007A0A14"/>
    <w:rsid w:val="007A214C"/>
    <w:rsid w:val="007A2FCF"/>
    <w:rsid w:val="007A597B"/>
    <w:rsid w:val="007A5D81"/>
    <w:rsid w:val="007A7413"/>
    <w:rsid w:val="007A77CD"/>
    <w:rsid w:val="007A7AFA"/>
    <w:rsid w:val="007B0A79"/>
    <w:rsid w:val="007B2CC7"/>
    <w:rsid w:val="007B5FB8"/>
    <w:rsid w:val="007C031D"/>
    <w:rsid w:val="007C0441"/>
    <w:rsid w:val="007C1CEB"/>
    <w:rsid w:val="007C3C2B"/>
    <w:rsid w:val="007D13FD"/>
    <w:rsid w:val="007D43A0"/>
    <w:rsid w:val="007D7609"/>
    <w:rsid w:val="007D77E6"/>
    <w:rsid w:val="007E60E8"/>
    <w:rsid w:val="007E7321"/>
    <w:rsid w:val="007F26D0"/>
    <w:rsid w:val="00801D64"/>
    <w:rsid w:val="0080219F"/>
    <w:rsid w:val="008023E9"/>
    <w:rsid w:val="0080461F"/>
    <w:rsid w:val="008110C3"/>
    <w:rsid w:val="0081384E"/>
    <w:rsid w:val="00813E24"/>
    <w:rsid w:val="00815BC1"/>
    <w:rsid w:val="0082191A"/>
    <w:rsid w:val="008236A8"/>
    <w:rsid w:val="00824113"/>
    <w:rsid w:val="00827071"/>
    <w:rsid w:val="0082786F"/>
    <w:rsid w:val="0083057E"/>
    <w:rsid w:val="00830751"/>
    <w:rsid w:val="0083122F"/>
    <w:rsid w:val="00835172"/>
    <w:rsid w:val="008352B1"/>
    <w:rsid w:val="008362E3"/>
    <w:rsid w:val="0084180C"/>
    <w:rsid w:val="0084324D"/>
    <w:rsid w:val="00846297"/>
    <w:rsid w:val="00850BA6"/>
    <w:rsid w:val="00851FB7"/>
    <w:rsid w:val="00852329"/>
    <w:rsid w:val="0085679E"/>
    <w:rsid w:val="00857B0A"/>
    <w:rsid w:val="00861CC3"/>
    <w:rsid w:val="00862495"/>
    <w:rsid w:val="00862A57"/>
    <w:rsid w:val="00864FF3"/>
    <w:rsid w:val="00865BD1"/>
    <w:rsid w:val="00866C8C"/>
    <w:rsid w:val="008672C2"/>
    <w:rsid w:val="00867B1E"/>
    <w:rsid w:val="00870D7F"/>
    <w:rsid w:val="008714D8"/>
    <w:rsid w:val="0087188B"/>
    <w:rsid w:val="0087233B"/>
    <w:rsid w:val="008734ED"/>
    <w:rsid w:val="0088059B"/>
    <w:rsid w:val="00884273"/>
    <w:rsid w:val="008937E8"/>
    <w:rsid w:val="00894182"/>
    <w:rsid w:val="008A0DB2"/>
    <w:rsid w:val="008A12D7"/>
    <w:rsid w:val="008A4661"/>
    <w:rsid w:val="008A526F"/>
    <w:rsid w:val="008B07D5"/>
    <w:rsid w:val="008B0852"/>
    <w:rsid w:val="008B3B87"/>
    <w:rsid w:val="008B4E0F"/>
    <w:rsid w:val="008B5B3C"/>
    <w:rsid w:val="008B75AA"/>
    <w:rsid w:val="008C0AAB"/>
    <w:rsid w:val="008C494E"/>
    <w:rsid w:val="008C708C"/>
    <w:rsid w:val="008C7350"/>
    <w:rsid w:val="008C748C"/>
    <w:rsid w:val="008D2DB8"/>
    <w:rsid w:val="008D471E"/>
    <w:rsid w:val="008D6904"/>
    <w:rsid w:val="008D7669"/>
    <w:rsid w:val="008E1D6B"/>
    <w:rsid w:val="008E272C"/>
    <w:rsid w:val="008E2D3B"/>
    <w:rsid w:val="008E2F75"/>
    <w:rsid w:val="008E3D76"/>
    <w:rsid w:val="008E5BE1"/>
    <w:rsid w:val="008E5CAF"/>
    <w:rsid w:val="008F0925"/>
    <w:rsid w:val="008F11FE"/>
    <w:rsid w:val="008F1CCA"/>
    <w:rsid w:val="008F47AD"/>
    <w:rsid w:val="008F4B41"/>
    <w:rsid w:val="008F681B"/>
    <w:rsid w:val="008F79FE"/>
    <w:rsid w:val="008F7CA6"/>
    <w:rsid w:val="00901851"/>
    <w:rsid w:val="0090203A"/>
    <w:rsid w:val="00902B06"/>
    <w:rsid w:val="00906D40"/>
    <w:rsid w:val="00915A30"/>
    <w:rsid w:val="0091628C"/>
    <w:rsid w:val="009174D0"/>
    <w:rsid w:val="009257D2"/>
    <w:rsid w:val="00926E81"/>
    <w:rsid w:val="00927898"/>
    <w:rsid w:val="009351A2"/>
    <w:rsid w:val="009379AD"/>
    <w:rsid w:val="0094245B"/>
    <w:rsid w:val="0094314E"/>
    <w:rsid w:val="009464F3"/>
    <w:rsid w:val="00946A82"/>
    <w:rsid w:val="009477FD"/>
    <w:rsid w:val="0095264F"/>
    <w:rsid w:val="00953F39"/>
    <w:rsid w:val="009553E1"/>
    <w:rsid w:val="0095604C"/>
    <w:rsid w:val="00956C00"/>
    <w:rsid w:val="00956D4B"/>
    <w:rsid w:val="009578B1"/>
    <w:rsid w:val="00961F53"/>
    <w:rsid w:val="00962B99"/>
    <w:rsid w:val="009636B4"/>
    <w:rsid w:val="009645C9"/>
    <w:rsid w:val="00964BED"/>
    <w:rsid w:val="00966A08"/>
    <w:rsid w:val="009717AE"/>
    <w:rsid w:val="00971EBB"/>
    <w:rsid w:val="0097405E"/>
    <w:rsid w:val="009807BD"/>
    <w:rsid w:val="0098086E"/>
    <w:rsid w:val="00981853"/>
    <w:rsid w:val="00981F34"/>
    <w:rsid w:val="00982CB9"/>
    <w:rsid w:val="00984557"/>
    <w:rsid w:val="00987617"/>
    <w:rsid w:val="00987982"/>
    <w:rsid w:val="00990827"/>
    <w:rsid w:val="00990A7B"/>
    <w:rsid w:val="00991816"/>
    <w:rsid w:val="00991C93"/>
    <w:rsid w:val="009946EA"/>
    <w:rsid w:val="00997771"/>
    <w:rsid w:val="00997EDA"/>
    <w:rsid w:val="009A33F1"/>
    <w:rsid w:val="009A3419"/>
    <w:rsid w:val="009A43DA"/>
    <w:rsid w:val="009A4E66"/>
    <w:rsid w:val="009A72A3"/>
    <w:rsid w:val="009A754A"/>
    <w:rsid w:val="009A7A16"/>
    <w:rsid w:val="009B07E0"/>
    <w:rsid w:val="009B1204"/>
    <w:rsid w:val="009B2E1A"/>
    <w:rsid w:val="009B38CA"/>
    <w:rsid w:val="009C2D6D"/>
    <w:rsid w:val="009D0DC1"/>
    <w:rsid w:val="009D2996"/>
    <w:rsid w:val="009D3BD2"/>
    <w:rsid w:val="009D3D02"/>
    <w:rsid w:val="009D4BB2"/>
    <w:rsid w:val="009D7508"/>
    <w:rsid w:val="009D757D"/>
    <w:rsid w:val="009E0B84"/>
    <w:rsid w:val="009E0E41"/>
    <w:rsid w:val="009E1C32"/>
    <w:rsid w:val="009E3DF4"/>
    <w:rsid w:val="009E5737"/>
    <w:rsid w:val="009F013D"/>
    <w:rsid w:val="009F2AC4"/>
    <w:rsid w:val="009F2ED1"/>
    <w:rsid w:val="009F4751"/>
    <w:rsid w:val="009F4A73"/>
    <w:rsid w:val="00A00392"/>
    <w:rsid w:val="00A0128E"/>
    <w:rsid w:val="00A026E1"/>
    <w:rsid w:val="00A02FE6"/>
    <w:rsid w:val="00A03F1A"/>
    <w:rsid w:val="00A044AF"/>
    <w:rsid w:val="00A045F1"/>
    <w:rsid w:val="00A05EA8"/>
    <w:rsid w:val="00A06497"/>
    <w:rsid w:val="00A06739"/>
    <w:rsid w:val="00A13D7D"/>
    <w:rsid w:val="00A13DDC"/>
    <w:rsid w:val="00A14E33"/>
    <w:rsid w:val="00A14F27"/>
    <w:rsid w:val="00A15277"/>
    <w:rsid w:val="00A1546F"/>
    <w:rsid w:val="00A16CD1"/>
    <w:rsid w:val="00A22239"/>
    <w:rsid w:val="00A239C7"/>
    <w:rsid w:val="00A26F4F"/>
    <w:rsid w:val="00A26F73"/>
    <w:rsid w:val="00A27518"/>
    <w:rsid w:val="00A276CF"/>
    <w:rsid w:val="00A27FC6"/>
    <w:rsid w:val="00A3065D"/>
    <w:rsid w:val="00A3235C"/>
    <w:rsid w:val="00A34ADE"/>
    <w:rsid w:val="00A35A87"/>
    <w:rsid w:val="00A40215"/>
    <w:rsid w:val="00A4144B"/>
    <w:rsid w:val="00A41788"/>
    <w:rsid w:val="00A42DFB"/>
    <w:rsid w:val="00A433A2"/>
    <w:rsid w:val="00A43FD4"/>
    <w:rsid w:val="00A462E4"/>
    <w:rsid w:val="00A47A24"/>
    <w:rsid w:val="00A511AF"/>
    <w:rsid w:val="00A51618"/>
    <w:rsid w:val="00A552B9"/>
    <w:rsid w:val="00A555B5"/>
    <w:rsid w:val="00A56159"/>
    <w:rsid w:val="00A57C3F"/>
    <w:rsid w:val="00A57FD8"/>
    <w:rsid w:val="00A60A34"/>
    <w:rsid w:val="00A61ECE"/>
    <w:rsid w:val="00A62391"/>
    <w:rsid w:val="00A62B23"/>
    <w:rsid w:val="00A64F96"/>
    <w:rsid w:val="00A64FB9"/>
    <w:rsid w:val="00A66290"/>
    <w:rsid w:val="00A74737"/>
    <w:rsid w:val="00A824F6"/>
    <w:rsid w:val="00A82BF9"/>
    <w:rsid w:val="00A85465"/>
    <w:rsid w:val="00A85B40"/>
    <w:rsid w:val="00A87D5E"/>
    <w:rsid w:val="00A92A53"/>
    <w:rsid w:val="00A94110"/>
    <w:rsid w:val="00A9497F"/>
    <w:rsid w:val="00AA4C25"/>
    <w:rsid w:val="00AA4FB2"/>
    <w:rsid w:val="00AA7966"/>
    <w:rsid w:val="00AB2045"/>
    <w:rsid w:val="00AB3359"/>
    <w:rsid w:val="00AB3C3F"/>
    <w:rsid w:val="00AC1A6A"/>
    <w:rsid w:val="00AC2B51"/>
    <w:rsid w:val="00AC3E6A"/>
    <w:rsid w:val="00AC447F"/>
    <w:rsid w:val="00AC61BE"/>
    <w:rsid w:val="00AC699C"/>
    <w:rsid w:val="00AD01C3"/>
    <w:rsid w:val="00AD0D03"/>
    <w:rsid w:val="00AD2801"/>
    <w:rsid w:val="00AD3536"/>
    <w:rsid w:val="00AD370D"/>
    <w:rsid w:val="00AD38A2"/>
    <w:rsid w:val="00AE09B0"/>
    <w:rsid w:val="00AE0E4F"/>
    <w:rsid w:val="00AE275E"/>
    <w:rsid w:val="00AE2A27"/>
    <w:rsid w:val="00AE618E"/>
    <w:rsid w:val="00AE7140"/>
    <w:rsid w:val="00AE74B1"/>
    <w:rsid w:val="00AE7AD1"/>
    <w:rsid w:val="00AF21D8"/>
    <w:rsid w:val="00AF2D0F"/>
    <w:rsid w:val="00AF48C6"/>
    <w:rsid w:val="00AF4A41"/>
    <w:rsid w:val="00AF7757"/>
    <w:rsid w:val="00B013C4"/>
    <w:rsid w:val="00B0430C"/>
    <w:rsid w:val="00B11DC0"/>
    <w:rsid w:val="00B12F2E"/>
    <w:rsid w:val="00B14D9A"/>
    <w:rsid w:val="00B16D30"/>
    <w:rsid w:val="00B17D3F"/>
    <w:rsid w:val="00B206A8"/>
    <w:rsid w:val="00B22F9E"/>
    <w:rsid w:val="00B23642"/>
    <w:rsid w:val="00B3007A"/>
    <w:rsid w:val="00B30C6A"/>
    <w:rsid w:val="00B34759"/>
    <w:rsid w:val="00B356FE"/>
    <w:rsid w:val="00B35908"/>
    <w:rsid w:val="00B35F5D"/>
    <w:rsid w:val="00B41F5C"/>
    <w:rsid w:val="00B44EA4"/>
    <w:rsid w:val="00B4601C"/>
    <w:rsid w:val="00B50992"/>
    <w:rsid w:val="00B515C0"/>
    <w:rsid w:val="00B53F68"/>
    <w:rsid w:val="00B55AA5"/>
    <w:rsid w:val="00B57DF0"/>
    <w:rsid w:val="00B61B19"/>
    <w:rsid w:val="00B62A52"/>
    <w:rsid w:val="00B63987"/>
    <w:rsid w:val="00B670ED"/>
    <w:rsid w:val="00B6783E"/>
    <w:rsid w:val="00B70181"/>
    <w:rsid w:val="00B74454"/>
    <w:rsid w:val="00B74D84"/>
    <w:rsid w:val="00B75DCE"/>
    <w:rsid w:val="00B760DD"/>
    <w:rsid w:val="00B8017B"/>
    <w:rsid w:val="00B84251"/>
    <w:rsid w:val="00B84BC0"/>
    <w:rsid w:val="00B87615"/>
    <w:rsid w:val="00B912C2"/>
    <w:rsid w:val="00B91722"/>
    <w:rsid w:val="00B9309D"/>
    <w:rsid w:val="00B9339C"/>
    <w:rsid w:val="00B96139"/>
    <w:rsid w:val="00B9659E"/>
    <w:rsid w:val="00B96DC7"/>
    <w:rsid w:val="00BA28EE"/>
    <w:rsid w:val="00BA2927"/>
    <w:rsid w:val="00BA292D"/>
    <w:rsid w:val="00BA40F9"/>
    <w:rsid w:val="00BA5E48"/>
    <w:rsid w:val="00BA606A"/>
    <w:rsid w:val="00BA6AF6"/>
    <w:rsid w:val="00BA6C17"/>
    <w:rsid w:val="00BB3BFC"/>
    <w:rsid w:val="00BB50A4"/>
    <w:rsid w:val="00BB547E"/>
    <w:rsid w:val="00BC053A"/>
    <w:rsid w:val="00BC1289"/>
    <w:rsid w:val="00BC2001"/>
    <w:rsid w:val="00BC383E"/>
    <w:rsid w:val="00BC38E2"/>
    <w:rsid w:val="00BC43A3"/>
    <w:rsid w:val="00BC5A9F"/>
    <w:rsid w:val="00BC7576"/>
    <w:rsid w:val="00BD2FFE"/>
    <w:rsid w:val="00BD702B"/>
    <w:rsid w:val="00BD774C"/>
    <w:rsid w:val="00BE0956"/>
    <w:rsid w:val="00BE1E2A"/>
    <w:rsid w:val="00BE682F"/>
    <w:rsid w:val="00BE791A"/>
    <w:rsid w:val="00BF05DD"/>
    <w:rsid w:val="00BF1E73"/>
    <w:rsid w:val="00BF5AEC"/>
    <w:rsid w:val="00BF5BE3"/>
    <w:rsid w:val="00BF67E9"/>
    <w:rsid w:val="00BF70EE"/>
    <w:rsid w:val="00C01CCB"/>
    <w:rsid w:val="00C01D2C"/>
    <w:rsid w:val="00C03678"/>
    <w:rsid w:val="00C03C38"/>
    <w:rsid w:val="00C056CD"/>
    <w:rsid w:val="00C11D2C"/>
    <w:rsid w:val="00C1389A"/>
    <w:rsid w:val="00C14B60"/>
    <w:rsid w:val="00C1578E"/>
    <w:rsid w:val="00C16C20"/>
    <w:rsid w:val="00C20517"/>
    <w:rsid w:val="00C21AF4"/>
    <w:rsid w:val="00C22CA1"/>
    <w:rsid w:val="00C23BA8"/>
    <w:rsid w:val="00C2653E"/>
    <w:rsid w:val="00C267AA"/>
    <w:rsid w:val="00C31D69"/>
    <w:rsid w:val="00C35D12"/>
    <w:rsid w:val="00C37885"/>
    <w:rsid w:val="00C40D18"/>
    <w:rsid w:val="00C4161B"/>
    <w:rsid w:val="00C41B79"/>
    <w:rsid w:val="00C44637"/>
    <w:rsid w:val="00C455C5"/>
    <w:rsid w:val="00C46094"/>
    <w:rsid w:val="00C51F05"/>
    <w:rsid w:val="00C526BB"/>
    <w:rsid w:val="00C526F2"/>
    <w:rsid w:val="00C563CE"/>
    <w:rsid w:val="00C5730B"/>
    <w:rsid w:val="00C574AC"/>
    <w:rsid w:val="00C60EB8"/>
    <w:rsid w:val="00C6338D"/>
    <w:rsid w:val="00C637F7"/>
    <w:rsid w:val="00C6537D"/>
    <w:rsid w:val="00C65B00"/>
    <w:rsid w:val="00C65DDA"/>
    <w:rsid w:val="00C66E54"/>
    <w:rsid w:val="00C728D8"/>
    <w:rsid w:val="00C77268"/>
    <w:rsid w:val="00C801CB"/>
    <w:rsid w:val="00C80D66"/>
    <w:rsid w:val="00C8153B"/>
    <w:rsid w:val="00C82D70"/>
    <w:rsid w:val="00C833EE"/>
    <w:rsid w:val="00C83BAC"/>
    <w:rsid w:val="00C85301"/>
    <w:rsid w:val="00C909E4"/>
    <w:rsid w:val="00C922CF"/>
    <w:rsid w:val="00C955F1"/>
    <w:rsid w:val="00C955FA"/>
    <w:rsid w:val="00C96BB8"/>
    <w:rsid w:val="00CA22FB"/>
    <w:rsid w:val="00CA3CD0"/>
    <w:rsid w:val="00CA5A11"/>
    <w:rsid w:val="00CB1236"/>
    <w:rsid w:val="00CB1850"/>
    <w:rsid w:val="00CB1B54"/>
    <w:rsid w:val="00CB25B7"/>
    <w:rsid w:val="00CB2B0E"/>
    <w:rsid w:val="00CB2E93"/>
    <w:rsid w:val="00CB5C94"/>
    <w:rsid w:val="00CB5D3C"/>
    <w:rsid w:val="00CB7673"/>
    <w:rsid w:val="00CB7756"/>
    <w:rsid w:val="00CC04BA"/>
    <w:rsid w:val="00CC1038"/>
    <w:rsid w:val="00CC10E8"/>
    <w:rsid w:val="00CC2306"/>
    <w:rsid w:val="00CC356F"/>
    <w:rsid w:val="00CC45A3"/>
    <w:rsid w:val="00CC7489"/>
    <w:rsid w:val="00CD3FB5"/>
    <w:rsid w:val="00CD43BD"/>
    <w:rsid w:val="00CD7B70"/>
    <w:rsid w:val="00CE45EC"/>
    <w:rsid w:val="00CE527A"/>
    <w:rsid w:val="00CE55D6"/>
    <w:rsid w:val="00CE611E"/>
    <w:rsid w:val="00CE6F2B"/>
    <w:rsid w:val="00CE7295"/>
    <w:rsid w:val="00CE7EF2"/>
    <w:rsid w:val="00CF26FD"/>
    <w:rsid w:val="00CF2843"/>
    <w:rsid w:val="00CF2BF5"/>
    <w:rsid w:val="00CF3485"/>
    <w:rsid w:val="00CF479C"/>
    <w:rsid w:val="00CF55D2"/>
    <w:rsid w:val="00D00BFE"/>
    <w:rsid w:val="00D00DA1"/>
    <w:rsid w:val="00D023EF"/>
    <w:rsid w:val="00D03BAF"/>
    <w:rsid w:val="00D044F6"/>
    <w:rsid w:val="00D04536"/>
    <w:rsid w:val="00D04E9D"/>
    <w:rsid w:val="00D11040"/>
    <w:rsid w:val="00D11898"/>
    <w:rsid w:val="00D11A7C"/>
    <w:rsid w:val="00D127BD"/>
    <w:rsid w:val="00D1323B"/>
    <w:rsid w:val="00D13500"/>
    <w:rsid w:val="00D17AC9"/>
    <w:rsid w:val="00D17AE1"/>
    <w:rsid w:val="00D21176"/>
    <w:rsid w:val="00D23F51"/>
    <w:rsid w:val="00D25ED4"/>
    <w:rsid w:val="00D27F9E"/>
    <w:rsid w:val="00D335F8"/>
    <w:rsid w:val="00D3494F"/>
    <w:rsid w:val="00D35EF5"/>
    <w:rsid w:val="00D360A9"/>
    <w:rsid w:val="00D370A4"/>
    <w:rsid w:val="00D37A8E"/>
    <w:rsid w:val="00D41BFD"/>
    <w:rsid w:val="00D42814"/>
    <w:rsid w:val="00D432EA"/>
    <w:rsid w:val="00D43F8A"/>
    <w:rsid w:val="00D4450B"/>
    <w:rsid w:val="00D45A47"/>
    <w:rsid w:val="00D45E87"/>
    <w:rsid w:val="00D51A2A"/>
    <w:rsid w:val="00D51AB7"/>
    <w:rsid w:val="00D608DA"/>
    <w:rsid w:val="00D61D69"/>
    <w:rsid w:val="00D63AC0"/>
    <w:rsid w:val="00D710C9"/>
    <w:rsid w:val="00D71A0B"/>
    <w:rsid w:val="00D72A3B"/>
    <w:rsid w:val="00D74145"/>
    <w:rsid w:val="00D802E1"/>
    <w:rsid w:val="00D8047A"/>
    <w:rsid w:val="00D84FC0"/>
    <w:rsid w:val="00D85B8B"/>
    <w:rsid w:val="00D93B32"/>
    <w:rsid w:val="00D94987"/>
    <w:rsid w:val="00D97BBB"/>
    <w:rsid w:val="00DA0751"/>
    <w:rsid w:val="00DA428B"/>
    <w:rsid w:val="00DB03C1"/>
    <w:rsid w:val="00DB0E78"/>
    <w:rsid w:val="00DB3717"/>
    <w:rsid w:val="00DB4433"/>
    <w:rsid w:val="00DB479F"/>
    <w:rsid w:val="00DB6A5C"/>
    <w:rsid w:val="00DC0112"/>
    <w:rsid w:val="00DC10C5"/>
    <w:rsid w:val="00DC1199"/>
    <w:rsid w:val="00DC4097"/>
    <w:rsid w:val="00DC4E6A"/>
    <w:rsid w:val="00DC5155"/>
    <w:rsid w:val="00DC5972"/>
    <w:rsid w:val="00DC7137"/>
    <w:rsid w:val="00DD09FD"/>
    <w:rsid w:val="00DD25E4"/>
    <w:rsid w:val="00DD5A70"/>
    <w:rsid w:val="00DD7D88"/>
    <w:rsid w:val="00DE2197"/>
    <w:rsid w:val="00DE22E5"/>
    <w:rsid w:val="00DE296E"/>
    <w:rsid w:val="00DE2E78"/>
    <w:rsid w:val="00DE6C2B"/>
    <w:rsid w:val="00DE7F8B"/>
    <w:rsid w:val="00DF05FD"/>
    <w:rsid w:val="00DF6F61"/>
    <w:rsid w:val="00E01573"/>
    <w:rsid w:val="00E02247"/>
    <w:rsid w:val="00E050C0"/>
    <w:rsid w:val="00E05DCC"/>
    <w:rsid w:val="00E072F0"/>
    <w:rsid w:val="00E07752"/>
    <w:rsid w:val="00E079B6"/>
    <w:rsid w:val="00E10E19"/>
    <w:rsid w:val="00E113E9"/>
    <w:rsid w:val="00E11ADE"/>
    <w:rsid w:val="00E12A6F"/>
    <w:rsid w:val="00E12C79"/>
    <w:rsid w:val="00E13029"/>
    <w:rsid w:val="00E1345F"/>
    <w:rsid w:val="00E14008"/>
    <w:rsid w:val="00E14CAE"/>
    <w:rsid w:val="00E1551D"/>
    <w:rsid w:val="00E1574A"/>
    <w:rsid w:val="00E2016F"/>
    <w:rsid w:val="00E31512"/>
    <w:rsid w:val="00E32C0A"/>
    <w:rsid w:val="00E33C36"/>
    <w:rsid w:val="00E34EBB"/>
    <w:rsid w:val="00E36DEE"/>
    <w:rsid w:val="00E37327"/>
    <w:rsid w:val="00E37595"/>
    <w:rsid w:val="00E4112A"/>
    <w:rsid w:val="00E43E6A"/>
    <w:rsid w:val="00E46449"/>
    <w:rsid w:val="00E504F3"/>
    <w:rsid w:val="00E52EA7"/>
    <w:rsid w:val="00E54B55"/>
    <w:rsid w:val="00E569EC"/>
    <w:rsid w:val="00E56FF3"/>
    <w:rsid w:val="00E709F0"/>
    <w:rsid w:val="00E76DD1"/>
    <w:rsid w:val="00E80729"/>
    <w:rsid w:val="00E822E5"/>
    <w:rsid w:val="00E8448F"/>
    <w:rsid w:val="00E8669E"/>
    <w:rsid w:val="00E87187"/>
    <w:rsid w:val="00EA021F"/>
    <w:rsid w:val="00EA14FA"/>
    <w:rsid w:val="00EB4DB5"/>
    <w:rsid w:val="00EB5A7C"/>
    <w:rsid w:val="00EB5B17"/>
    <w:rsid w:val="00EB6E54"/>
    <w:rsid w:val="00EC7151"/>
    <w:rsid w:val="00EC7255"/>
    <w:rsid w:val="00ED00CD"/>
    <w:rsid w:val="00ED119C"/>
    <w:rsid w:val="00ED43AB"/>
    <w:rsid w:val="00ED4900"/>
    <w:rsid w:val="00ED498E"/>
    <w:rsid w:val="00ED7AC9"/>
    <w:rsid w:val="00EE0ED4"/>
    <w:rsid w:val="00EE1C40"/>
    <w:rsid w:val="00EE273A"/>
    <w:rsid w:val="00EE3559"/>
    <w:rsid w:val="00EE3D91"/>
    <w:rsid w:val="00EE58E9"/>
    <w:rsid w:val="00EE5F1D"/>
    <w:rsid w:val="00EE6D42"/>
    <w:rsid w:val="00EF0144"/>
    <w:rsid w:val="00EF4B1D"/>
    <w:rsid w:val="00EF6C00"/>
    <w:rsid w:val="00EF6E08"/>
    <w:rsid w:val="00EF70E1"/>
    <w:rsid w:val="00EF7A8C"/>
    <w:rsid w:val="00EF7C25"/>
    <w:rsid w:val="00F01405"/>
    <w:rsid w:val="00F0160B"/>
    <w:rsid w:val="00F02C4D"/>
    <w:rsid w:val="00F03994"/>
    <w:rsid w:val="00F04C44"/>
    <w:rsid w:val="00F0797A"/>
    <w:rsid w:val="00F127AF"/>
    <w:rsid w:val="00F13578"/>
    <w:rsid w:val="00F166A6"/>
    <w:rsid w:val="00F23B2A"/>
    <w:rsid w:val="00F24334"/>
    <w:rsid w:val="00F24395"/>
    <w:rsid w:val="00F257CC"/>
    <w:rsid w:val="00F27A5A"/>
    <w:rsid w:val="00F30DB2"/>
    <w:rsid w:val="00F315BB"/>
    <w:rsid w:val="00F31A30"/>
    <w:rsid w:val="00F33711"/>
    <w:rsid w:val="00F33AD7"/>
    <w:rsid w:val="00F33DA2"/>
    <w:rsid w:val="00F346CC"/>
    <w:rsid w:val="00F35C33"/>
    <w:rsid w:val="00F4125F"/>
    <w:rsid w:val="00F44E9D"/>
    <w:rsid w:val="00F45879"/>
    <w:rsid w:val="00F45FFB"/>
    <w:rsid w:val="00F501EC"/>
    <w:rsid w:val="00F50840"/>
    <w:rsid w:val="00F50844"/>
    <w:rsid w:val="00F55FAB"/>
    <w:rsid w:val="00F564BE"/>
    <w:rsid w:val="00F604EE"/>
    <w:rsid w:val="00F60941"/>
    <w:rsid w:val="00F66312"/>
    <w:rsid w:val="00F72717"/>
    <w:rsid w:val="00F72A7F"/>
    <w:rsid w:val="00F72BA5"/>
    <w:rsid w:val="00F73DED"/>
    <w:rsid w:val="00F745B4"/>
    <w:rsid w:val="00F74709"/>
    <w:rsid w:val="00F7564A"/>
    <w:rsid w:val="00F81918"/>
    <w:rsid w:val="00F84D4A"/>
    <w:rsid w:val="00F85B1F"/>
    <w:rsid w:val="00F93CAB"/>
    <w:rsid w:val="00F94DD6"/>
    <w:rsid w:val="00F97430"/>
    <w:rsid w:val="00FA05CD"/>
    <w:rsid w:val="00FA08F7"/>
    <w:rsid w:val="00FA24C2"/>
    <w:rsid w:val="00FA6FD4"/>
    <w:rsid w:val="00FA705D"/>
    <w:rsid w:val="00FA7F73"/>
    <w:rsid w:val="00FB3054"/>
    <w:rsid w:val="00FB373B"/>
    <w:rsid w:val="00FB5FFD"/>
    <w:rsid w:val="00FB6403"/>
    <w:rsid w:val="00FB7B52"/>
    <w:rsid w:val="00FC0124"/>
    <w:rsid w:val="00FC098B"/>
    <w:rsid w:val="00FC1168"/>
    <w:rsid w:val="00FC1F8F"/>
    <w:rsid w:val="00FC2DB1"/>
    <w:rsid w:val="00FC3447"/>
    <w:rsid w:val="00FC39B1"/>
    <w:rsid w:val="00FC516F"/>
    <w:rsid w:val="00FC6C5F"/>
    <w:rsid w:val="00FC70F6"/>
    <w:rsid w:val="00FD444C"/>
    <w:rsid w:val="00FD4621"/>
    <w:rsid w:val="00FD5FD2"/>
    <w:rsid w:val="00FD7689"/>
    <w:rsid w:val="00FD7FCE"/>
    <w:rsid w:val="00FE0453"/>
    <w:rsid w:val="00FE1D8A"/>
    <w:rsid w:val="00FE249A"/>
    <w:rsid w:val="00FE26FF"/>
    <w:rsid w:val="00FE37F3"/>
    <w:rsid w:val="00FE39B0"/>
    <w:rsid w:val="00FE4DC8"/>
    <w:rsid w:val="00FE5DAD"/>
    <w:rsid w:val="00FE6CB0"/>
    <w:rsid w:val="00FF2195"/>
    <w:rsid w:val="00FF4629"/>
    <w:rsid w:val="00FF56A9"/>
    <w:rsid w:val="00FF76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customStyle="1" w:styleId="Heading1Char">
    <w:name w:val="Heading 1 Char"/>
    <w:basedOn w:val="DefaultParagraphFont"/>
    <w:link w:val="Heading1"/>
    <w:uiPriority w:val="9"/>
    <w:rsid w:val="005B4692"/>
    <w:rPr>
      <w:rFonts w:asciiTheme="majorHAnsi" w:eastAsiaTheme="majorEastAsia" w:hAnsiTheme="majorHAnsi" w:cstheme="majorBidi"/>
      <w:color w:val="365F91" w:themeColor="accent1" w:themeShade="BF"/>
      <w:sz w:val="32"/>
      <w:szCs w:val="32"/>
    </w:rPr>
  </w:style>
  <w:style w:type="paragraph" w:customStyle="1" w:styleId="Default">
    <w:name w:val="Default"/>
    <w:rsid w:val="00711DE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B53F68"/>
    <w:rPr>
      <w:rFonts w:ascii="Arial" w:hAnsi="Arial"/>
    </w:rPr>
  </w:style>
  <w:style w:type="character" w:styleId="FollowedHyperlink">
    <w:name w:val="FollowedHyperlink"/>
    <w:basedOn w:val="DefaultParagraphFont"/>
    <w:uiPriority w:val="99"/>
    <w:semiHidden/>
    <w:unhideWhenUsed/>
    <w:rsid w:val="00953F39"/>
    <w:rPr>
      <w:color w:val="800080" w:themeColor="followedHyperlink"/>
      <w:u w:val="single"/>
    </w:rPr>
  </w:style>
  <w:style w:type="paragraph" w:styleId="Revision">
    <w:name w:val="Revision"/>
    <w:hidden/>
    <w:uiPriority w:val="99"/>
    <w:semiHidden/>
    <w:rsid w:val="00C909E4"/>
    <w:pPr>
      <w:spacing w:after="0" w:line="240" w:lineRule="auto"/>
    </w:pPr>
  </w:style>
  <w:style w:type="paragraph" w:customStyle="1" w:styleId="pf0">
    <w:name w:val="pf0"/>
    <w:basedOn w:val="Normal"/>
    <w:rsid w:val="00500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00D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91586391">
      <w:bodyDiv w:val="1"/>
      <w:marLeft w:val="0"/>
      <w:marRight w:val="0"/>
      <w:marTop w:val="0"/>
      <w:marBottom w:val="0"/>
      <w:divBdr>
        <w:top w:val="none" w:sz="0" w:space="0" w:color="auto"/>
        <w:left w:val="none" w:sz="0" w:space="0" w:color="auto"/>
        <w:bottom w:val="none" w:sz="0" w:space="0" w:color="auto"/>
        <w:right w:val="none" w:sz="0" w:space="0" w:color="auto"/>
      </w:divBdr>
      <w:divsChild>
        <w:div w:id="78597604">
          <w:marLeft w:val="547"/>
          <w:marRight w:val="0"/>
          <w:marTop w:val="0"/>
          <w:marBottom w:val="0"/>
          <w:divBdr>
            <w:top w:val="none" w:sz="0" w:space="0" w:color="auto"/>
            <w:left w:val="none" w:sz="0" w:space="0" w:color="auto"/>
            <w:bottom w:val="none" w:sz="0" w:space="0" w:color="auto"/>
            <w:right w:val="none" w:sz="0" w:space="0" w:color="auto"/>
          </w:divBdr>
        </w:div>
        <w:div w:id="1284730571">
          <w:marLeft w:val="547"/>
          <w:marRight w:val="0"/>
          <w:marTop w:val="0"/>
          <w:marBottom w:val="0"/>
          <w:divBdr>
            <w:top w:val="none" w:sz="0" w:space="0" w:color="auto"/>
            <w:left w:val="none" w:sz="0" w:space="0" w:color="auto"/>
            <w:bottom w:val="none" w:sz="0" w:space="0" w:color="auto"/>
            <w:right w:val="none" w:sz="0" w:space="0" w:color="auto"/>
          </w:divBdr>
        </w:div>
      </w:divsChild>
    </w:div>
    <w:div w:id="182717644">
      <w:bodyDiv w:val="1"/>
      <w:marLeft w:val="0"/>
      <w:marRight w:val="0"/>
      <w:marTop w:val="0"/>
      <w:marBottom w:val="0"/>
      <w:divBdr>
        <w:top w:val="none" w:sz="0" w:space="0" w:color="auto"/>
        <w:left w:val="none" w:sz="0" w:space="0" w:color="auto"/>
        <w:bottom w:val="none" w:sz="0" w:space="0" w:color="auto"/>
        <w:right w:val="none" w:sz="0" w:space="0" w:color="auto"/>
      </w:divBdr>
    </w:div>
    <w:div w:id="201601995">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590354290">
      <w:bodyDiv w:val="1"/>
      <w:marLeft w:val="0"/>
      <w:marRight w:val="0"/>
      <w:marTop w:val="0"/>
      <w:marBottom w:val="0"/>
      <w:divBdr>
        <w:top w:val="none" w:sz="0" w:space="0" w:color="auto"/>
        <w:left w:val="none" w:sz="0" w:space="0" w:color="auto"/>
        <w:bottom w:val="none" w:sz="0" w:space="0" w:color="auto"/>
        <w:right w:val="none" w:sz="0" w:space="0" w:color="auto"/>
      </w:divBdr>
    </w:div>
    <w:div w:id="696859276">
      <w:bodyDiv w:val="1"/>
      <w:marLeft w:val="0"/>
      <w:marRight w:val="0"/>
      <w:marTop w:val="0"/>
      <w:marBottom w:val="0"/>
      <w:divBdr>
        <w:top w:val="none" w:sz="0" w:space="0" w:color="auto"/>
        <w:left w:val="none" w:sz="0" w:space="0" w:color="auto"/>
        <w:bottom w:val="none" w:sz="0" w:space="0" w:color="auto"/>
        <w:right w:val="none" w:sz="0" w:space="0" w:color="auto"/>
      </w:divBdr>
    </w:div>
    <w:div w:id="702366551">
      <w:bodyDiv w:val="1"/>
      <w:marLeft w:val="0"/>
      <w:marRight w:val="0"/>
      <w:marTop w:val="0"/>
      <w:marBottom w:val="0"/>
      <w:divBdr>
        <w:top w:val="none" w:sz="0" w:space="0" w:color="auto"/>
        <w:left w:val="none" w:sz="0" w:space="0" w:color="auto"/>
        <w:bottom w:val="none" w:sz="0" w:space="0" w:color="auto"/>
        <w:right w:val="none" w:sz="0" w:space="0" w:color="auto"/>
      </w:divBdr>
    </w:div>
    <w:div w:id="728652894">
      <w:bodyDiv w:val="1"/>
      <w:marLeft w:val="0"/>
      <w:marRight w:val="0"/>
      <w:marTop w:val="0"/>
      <w:marBottom w:val="0"/>
      <w:divBdr>
        <w:top w:val="none" w:sz="0" w:space="0" w:color="auto"/>
        <w:left w:val="none" w:sz="0" w:space="0" w:color="auto"/>
        <w:bottom w:val="none" w:sz="0" w:space="0" w:color="auto"/>
        <w:right w:val="none" w:sz="0" w:space="0" w:color="auto"/>
      </w:divBdr>
    </w:div>
    <w:div w:id="785465832">
      <w:bodyDiv w:val="1"/>
      <w:marLeft w:val="0"/>
      <w:marRight w:val="0"/>
      <w:marTop w:val="0"/>
      <w:marBottom w:val="0"/>
      <w:divBdr>
        <w:top w:val="none" w:sz="0" w:space="0" w:color="auto"/>
        <w:left w:val="none" w:sz="0" w:space="0" w:color="auto"/>
        <w:bottom w:val="none" w:sz="0" w:space="0" w:color="auto"/>
        <w:right w:val="none" w:sz="0" w:space="0" w:color="auto"/>
      </w:divBdr>
    </w:div>
    <w:div w:id="928848131">
      <w:bodyDiv w:val="1"/>
      <w:marLeft w:val="0"/>
      <w:marRight w:val="0"/>
      <w:marTop w:val="0"/>
      <w:marBottom w:val="0"/>
      <w:divBdr>
        <w:top w:val="none" w:sz="0" w:space="0" w:color="auto"/>
        <w:left w:val="none" w:sz="0" w:space="0" w:color="auto"/>
        <w:bottom w:val="none" w:sz="0" w:space="0" w:color="auto"/>
        <w:right w:val="none" w:sz="0" w:space="0" w:color="auto"/>
      </w:divBdr>
    </w:div>
    <w:div w:id="936862725">
      <w:bodyDiv w:val="1"/>
      <w:marLeft w:val="0"/>
      <w:marRight w:val="0"/>
      <w:marTop w:val="0"/>
      <w:marBottom w:val="0"/>
      <w:divBdr>
        <w:top w:val="none" w:sz="0" w:space="0" w:color="auto"/>
        <w:left w:val="none" w:sz="0" w:space="0" w:color="auto"/>
        <w:bottom w:val="none" w:sz="0" w:space="0" w:color="auto"/>
        <w:right w:val="none" w:sz="0" w:space="0" w:color="auto"/>
      </w:divBdr>
    </w:div>
    <w:div w:id="986671330">
      <w:bodyDiv w:val="1"/>
      <w:marLeft w:val="0"/>
      <w:marRight w:val="0"/>
      <w:marTop w:val="0"/>
      <w:marBottom w:val="0"/>
      <w:divBdr>
        <w:top w:val="none" w:sz="0" w:space="0" w:color="auto"/>
        <w:left w:val="none" w:sz="0" w:space="0" w:color="auto"/>
        <w:bottom w:val="none" w:sz="0" w:space="0" w:color="auto"/>
        <w:right w:val="none" w:sz="0" w:space="0" w:color="auto"/>
      </w:divBdr>
    </w:div>
    <w:div w:id="1022243378">
      <w:bodyDiv w:val="1"/>
      <w:marLeft w:val="0"/>
      <w:marRight w:val="0"/>
      <w:marTop w:val="0"/>
      <w:marBottom w:val="0"/>
      <w:divBdr>
        <w:top w:val="none" w:sz="0" w:space="0" w:color="auto"/>
        <w:left w:val="none" w:sz="0" w:space="0" w:color="auto"/>
        <w:bottom w:val="none" w:sz="0" w:space="0" w:color="auto"/>
        <w:right w:val="none" w:sz="0" w:space="0" w:color="auto"/>
      </w:divBdr>
    </w:div>
    <w:div w:id="1028338860">
      <w:bodyDiv w:val="1"/>
      <w:marLeft w:val="0"/>
      <w:marRight w:val="0"/>
      <w:marTop w:val="0"/>
      <w:marBottom w:val="0"/>
      <w:divBdr>
        <w:top w:val="none" w:sz="0" w:space="0" w:color="auto"/>
        <w:left w:val="none" w:sz="0" w:space="0" w:color="auto"/>
        <w:bottom w:val="none" w:sz="0" w:space="0" w:color="auto"/>
        <w:right w:val="none" w:sz="0" w:space="0" w:color="auto"/>
      </w:divBdr>
    </w:div>
    <w:div w:id="1031879346">
      <w:bodyDiv w:val="1"/>
      <w:marLeft w:val="0"/>
      <w:marRight w:val="0"/>
      <w:marTop w:val="0"/>
      <w:marBottom w:val="0"/>
      <w:divBdr>
        <w:top w:val="none" w:sz="0" w:space="0" w:color="auto"/>
        <w:left w:val="none" w:sz="0" w:space="0" w:color="auto"/>
        <w:bottom w:val="none" w:sz="0" w:space="0" w:color="auto"/>
        <w:right w:val="none" w:sz="0" w:space="0" w:color="auto"/>
      </w:divBdr>
    </w:div>
    <w:div w:id="1049184924">
      <w:bodyDiv w:val="1"/>
      <w:marLeft w:val="0"/>
      <w:marRight w:val="0"/>
      <w:marTop w:val="0"/>
      <w:marBottom w:val="0"/>
      <w:divBdr>
        <w:top w:val="none" w:sz="0" w:space="0" w:color="auto"/>
        <w:left w:val="none" w:sz="0" w:space="0" w:color="auto"/>
        <w:bottom w:val="none" w:sz="0" w:space="0" w:color="auto"/>
        <w:right w:val="none" w:sz="0" w:space="0" w:color="auto"/>
      </w:divBdr>
    </w:div>
    <w:div w:id="1083995253">
      <w:bodyDiv w:val="1"/>
      <w:marLeft w:val="0"/>
      <w:marRight w:val="0"/>
      <w:marTop w:val="0"/>
      <w:marBottom w:val="0"/>
      <w:divBdr>
        <w:top w:val="none" w:sz="0" w:space="0" w:color="auto"/>
        <w:left w:val="none" w:sz="0" w:space="0" w:color="auto"/>
        <w:bottom w:val="none" w:sz="0" w:space="0" w:color="auto"/>
        <w:right w:val="none" w:sz="0" w:space="0" w:color="auto"/>
      </w:divBdr>
    </w:div>
    <w:div w:id="1094130989">
      <w:bodyDiv w:val="1"/>
      <w:marLeft w:val="0"/>
      <w:marRight w:val="0"/>
      <w:marTop w:val="0"/>
      <w:marBottom w:val="0"/>
      <w:divBdr>
        <w:top w:val="none" w:sz="0" w:space="0" w:color="auto"/>
        <w:left w:val="none" w:sz="0" w:space="0" w:color="auto"/>
        <w:bottom w:val="none" w:sz="0" w:space="0" w:color="auto"/>
        <w:right w:val="none" w:sz="0" w:space="0" w:color="auto"/>
      </w:divBdr>
    </w:div>
    <w:div w:id="1099108038">
      <w:bodyDiv w:val="1"/>
      <w:marLeft w:val="0"/>
      <w:marRight w:val="0"/>
      <w:marTop w:val="0"/>
      <w:marBottom w:val="0"/>
      <w:divBdr>
        <w:top w:val="none" w:sz="0" w:space="0" w:color="auto"/>
        <w:left w:val="none" w:sz="0" w:space="0" w:color="auto"/>
        <w:bottom w:val="none" w:sz="0" w:space="0" w:color="auto"/>
        <w:right w:val="none" w:sz="0" w:space="0" w:color="auto"/>
      </w:divBdr>
    </w:div>
    <w:div w:id="1124730437">
      <w:bodyDiv w:val="1"/>
      <w:marLeft w:val="0"/>
      <w:marRight w:val="0"/>
      <w:marTop w:val="0"/>
      <w:marBottom w:val="0"/>
      <w:divBdr>
        <w:top w:val="none" w:sz="0" w:space="0" w:color="auto"/>
        <w:left w:val="none" w:sz="0" w:space="0" w:color="auto"/>
        <w:bottom w:val="none" w:sz="0" w:space="0" w:color="auto"/>
        <w:right w:val="none" w:sz="0" w:space="0" w:color="auto"/>
      </w:divBdr>
    </w:div>
    <w:div w:id="1134132139">
      <w:bodyDiv w:val="1"/>
      <w:marLeft w:val="0"/>
      <w:marRight w:val="0"/>
      <w:marTop w:val="0"/>
      <w:marBottom w:val="0"/>
      <w:divBdr>
        <w:top w:val="none" w:sz="0" w:space="0" w:color="auto"/>
        <w:left w:val="none" w:sz="0" w:space="0" w:color="auto"/>
        <w:bottom w:val="none" w:sz="0" w:space="0" w:color="auto"/>
        <w:right w:val="none" w:sz="0" w:space="0" w:color="auto"/>
      </w:divBdr>
    </w:div>
    <w:div w:id="1442456352">
      <w:bodyDiv w:val="1"/>
      <w:marLeft w:val="0"/>
      <w:marRight w:val="0"/>
      <w:marTop w:val="0"/>
      <w:marBottom w:val="0"/>
      <w:divBdr>
        <w:top w:val="none" w:sz="0" w:space="0" w:color="auto"/>
        <w:left w:val="none" w:sz="0" w:space="0" w:color="auto"/>
        <w:bottom w:val="none" w:sz="0" w:space="0" w:color="auto"/>
        <w:right w:val="none" w:sz="0" w:space="0" w:color="auto"/>
      </w:divBdr>
    </w:div>
    <w:div w:id="1444569764">
      <w:bodyDiv w:val="1"/>
      <w:marLeft w:val="0"/>
      <w:marRight w:val="0"/>
      <w:marTop w:val="0"/>
      <w:marBottom w:val="0"/>
      <w:divBdr>
        <w:top w:val="none" w:sz="0" w:space="0" w:color="auto"/>
        <w:left w:val="none" w:sz="0" w:space="0" w:color="auto"/>
        <w:bottom w:val="none" w:sz="0" w:space="0" w:color="auto"/>
        <w:right w:val="none" w:sz="0" w:space="0" w:color="auto"/>
      </w:divBdr>
    </w:div>
    <w:div w:id="1537499295">
      <w:bodyDiv w:val="1"/>
      <w:marLeft w:val="0"/>
      <w:marRight w:val="0"/>
      <w:marTop w:val="0"/>
      <w:marBottom w:val="0"/>
      <w:divBdr>
        <w:top w:val="none" w:sz="0" w:space="0" w:color="auto"/>
        <w:left w:val="none" w:sz="0" w:space="0" w:color="auto"/>
        <w:bottom w:val="none" w:sz="0" w:space="0" w:color="auto"/>
        <w:right w:val="none" w:sz="0" w:space="0" w:color="auto"/>
      </w:divBdr>
    </w:div>
    <w:div w:id="1547061145">
      <w:bodyDiv w:val="1"/>
      <w:marLeft w:val="0"/>
      <w:marRight w:val="0"/>
      <w:marTop w:val="0"/>
      <w:marBottom w:val="0"/>
      <w:divBdr>
        <w:top w:val="none" w:sz="0" w:space="0" w:color="auto"/>
        <w:left w:val="none" w:sz="0" w:space="0" w:color="auto"/>
        <w:bottom w:val="none" w:sz="0" w:space="0" w:color="auto"/>
        <w:right w:val="none" w:sz="0" w:space="0" w:color="auto"/>
      </w:divBdr>
    </w:div>
    <w:div w:id="1597589309">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46143408">
      <w:bodyDiv w:val="1"/>
      <w:marLeft w:val="0"/>
      <w:marRight w:val="0"/>
      <w:marTop w:val="0"/>
      <w:marBottom w:val="0"/>
      <w:divBdr>
        <w:top w:val="none" w:sz="0" w:space="0" w:color="auto"/>
        <w:left w:val="none" w:sz="0" w:space="0" w:color="auto"/>
        <w:bottom w:val="none" w:sz="0" w:space="0" w:color="auto"/>
        <w:right w:val="none" w:sz="0" w:space="0" w:color="auto"/>
      </w:divBdr>
    </w:div>
    <w:div w:id="1751342291">
      <w:bodyDiv w:val="1"/>
      <w:marLeft w:val="0"/>
      <w:marRight w:val="0"/>
      <w:marTop w:val="0"/>
      <w:marBottom w:val="0"/>
      <w:divBdr>
        <w:top w:val="none" w:sz="0" w:space="0" w:color="auto"/>
        <w:left w:val="none" w:sz="0" w:space="0" w:color="auto"/>
        <w:bottom w:val="none" w:sz="0" w:space="0" w:color="auto"/>
        <w:right w:val="none" w:sz="0" w:space="0" w:color="auto"/>
      </w:divBdr>
    </w:div>
    <w:div w:id="1782993448">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turechargingandaccess@ofgem.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eat-and-buildings-strategy" TargetMode="External"/><Relationship Id="rId2" Type="http://schemas.openxmlformats.org/officeDocument/2006/relationships/hyperlink" Target="https://www.gov.uk/government/publications/transitioning-to-a-net-zero-energy-system-smart-systems-and-flexibility-plan-2021" TargetMode="External"/><Relationship Id="rId1" Type="http://schemas.openxmlformats.org/officeDocument/2006/relationships/hyperlink" Target="https://www.gov.uk/government/publications/net-zero-strateg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C4"/>
    <w:rsid w:val="000B2A3C"/>
    <w:rsid w:val="0044622C"/>
    <w:rsid w:val="00626EDC"/>
    <w:rsid w:val="00B17EC4"/>
    <w:rsid w:val="00E02FA8"/>
    <w:rsid w:val="00E05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3.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180BB-99D1-4092-9382-1E136BADBE14}">
  <ds:schemaRefs>
    <ds:schemaRef ds:uri="http://schemas.openxmlformats.org/officeDocument/2006/bibliography"/>
  </ds:schemaRefs>
</ds:datastoreItem>
</file>

<file path=customXml/itemProps2.xml><?xml version="1.0" encoding="utf-8"?>
<ds:datastoreItem xmlns:ds="http://schemas.openxmlformats.org/officeDocument/2006/customXml" ds:itemID="{E16360B3-29D1-4EA7-B85A-CE7AC10EF0E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9093acf3-be6d-40ef-a599-a0acefafb49d"/>
    <ds:schemaRef ds:uri="http://purl.org/dc/terms/"/>
    <ds:schemaRef ds:uri="http://schemas.openxmlformats.org/package/2006/metadata/core-properties"/>
    <ds:schemaRef ds:uri="d5dfec62-5a7a-4bf7-939c-e6d3f257bb81"/>
    <ds:schemaRef ds:uri="http://schemas.microsoft.com/sharepoint/v3"/>
  </ds:schemaRefs>
</ds:datastoreItem>
</file>

<file path=customXml/itemProps3.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C1FBF-A3D4-4936-A804-2682A452D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10</cp:revision>
  <cp:lastPrinted>2021-11-11T13:06:00Z</cp:lastPrinted>
  <dcterms:created xsi:type="dcterms:W3CDTF">2021-11-25T08:39:00Z</dcterms:created>
  <dcterms:modified xsi:type="dcterms:W3CDTF">2021-11-25T09:01:00Z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