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6210" w14:textId="669461CE" w:rsidR="00B912C2" w:rsidRPr="00CD43BD" w:rsidRDefault="00B96DC7" w:rsidP="00CD43BD">
      <w:pPr>
        <w:rPr>
          <w:rFonts w:ascii="Arial" w:hAnsi="Arial" w:cs="Arial"/>
          <w:sz w:val="20"/>
          <w:szCs w:val="20"/>
        </w:rPr>
      </w:pPr>
      <w:bookmarkStart w:id="0" w:name="_Hlk85468382"/>
      <w:bookmarkEnd w:id="0"/>
      <w:r w:rsidRPr="00CD43BD">
        <w:rPr>
          <w:rFonts w:ascii="Arial" w:hAnsi="Arial" w:cs="Arial"/>
          <w:sz w:val="20"/>
          <w:szCs w:val="20"/>
        </w:rPr>
        <w:t>Email</w:t>
      </w:r>
      <w:r w:rsidR="00CD43BD" w:rsidRPr="00CD43BD">
        <w:rPr>
          <w:rFonts w:ascii="Arial" w:hAnsi="Arial" w:cs="Arial"/>
          <w:sz w:val="20"/>
          <w:szCs w:val="20"/>
        </w:rPr>
        <w:t xml:space="preserve"> to:</w:t>
      </w:r>
      <w:r w:rsidR="00990827" w:rsidRPr="00CD43BD">
        <w:rPr>
          <w:rFonts w:ascii="Arial" w:hAnsi="Arial" w:cs="Arial"/>
          <w:sz w:val="20"/>
          <w:szCs w:val="20"/>
        </w:rPr>
        <w:t xml:space="preserve"> </w:t>
      </w:r>
      <w:r w:rsidR="00990827" w:rsidRPr="00CD43BD">
        <w:rPr>
          <w:rFonts w:ascii="Arial" w:hAnsi="Arial" w:cs="Arial"/>
          <w:sz w:val="20"/>
          <w:szCs w:val="20"/>
        </w:rPr>
        <w:br/>
      </w:r>
      <w:hyperlink r:id="rId11" w:history="1">
        <w:r w:rsidR="00DC4E6A" w:rsidRPr="00FB4E95">
          <w:rPr>
            <w:rStyle w:val="Hyperlink"/>
            <w:rFonts w:ascii="Arial" w:hAnsi="Arial" w:cs="Arial"/>
            <w:sz w:val="20"/>
            <w:szCs w:val="20"/>
          </w:rPr>
          <w:t>tnuosreform@ofgem.gov.uk</w:t>
        </w:r>
      </w:hyperlink>
      <w:r w:rsidR="00DC4E6A">
        <w:rPr>
          <w:rFonts w:ascii="Arial" w:hAnsi="Arial" w:cs="Arial"/>
          <w:sz w:val="20"/>
          <w:szCs w:val="20"/>
        </w:rPr>
        <w:t xml:space="preserve"> </w:t>
      </w:r>
      <w:r w:rsidR="00470E96" w:rsidRPr="00CD43BD">
        <w:rPr>
          <w:rFonts w:ascii="Arial" w:hAnsi="Arial" w:cs="Arial"/>
          <w:sz w:val="20"/>
          <w:szCs w:val="20"/>
        </w:rPr>
        <w:br/>
      </w:r>
    </w:p>
    <w:sdt>
      <w:sdtPr>
        <w:rPr>
          <w:rFonts w:ascii="Arial" w:hAnsi="Arial" w:cs="Arial"/>
          <w:sz w:val="20"/>
          <w:szCs w:val="20"/>
        </w:rPr>
        <w:alias w:val="Please select the date"/>
        <w:tag w:val="Please select the date"/>
        <w:id w:val="-1603492743"/>
        <w:placeholder>
          <w:docPart w:val="D026329B03414F5B8BEB69D4B72A5C10"/>
        </w:placeholder>
        <w:date w:fullDate="2021-11-05T00:00:00Z">
          <w:dateFormat w:val="dd MMMM yyyy"/>
          <w:lid w:val="en-GB"/>
          <w:storeMappedDataAs w:val="dateTime"/>
          <w:calendar w:val="gregorian"/>
        </w:date>
      </w:sdtPr>
      <w:sdtEndPr/>
      <w:sdtContent>
        <w:p w14:paraId="2668A966" w14:textId="3D8D1451" w:rsidR="00EC7255" w:rsidRPr="000A48D0" w:rsidRDefault="00FB5FFD" w:rsidP="000A48D0">
          <w:pPr>
            <w:jc w:val="both"/>
            <w:rPr>
              <w:rFonts w:ascii="Arial" w:hAnsi="Arial" w:cs="Arial"/>
              <w:sz w:val="20"/>
              <w:szCs w:val="20"/>
            </w:rPr>
          </w:pPr>
          <w:r>
            <w:rPr>
              <w:rFonts w:ascii="Arial" w:hAnsi="Arial" w:cs="Arial"/>
              <w:sz w:val="20"/>
              <w:szCs w:val="20"/>
            </w:rPr>
            <w:t>05</w:t>
          </w:r>
          <w:r w:rsidR="009D2996">
            <w:rPr>
              <w:rFonts w:ascii="Arial" w:hAnsi="Arial" w:cs="Arial"/>
              <w:sz w:val="20"/>
              <w:szCs w:val="20"/>
            </w:rPr>
            <w:t xml:space="preserve"> </w:t>
          </w:r>
          <w:r>
            <w:rPr>
              <w:rFonts w:ascii="Arial" w:hAnsi="Arial" w:cs="Arial"/>
              <w:sz w:val="20"/>
              <w:szCs w:val="20"/>
            </w:rPr>
            <w:t>November</w:t>
          </w:r>
          <w:r w:rsidR="009D2996">
            <w:rPr>
              <w:rFonts w:ascii="Arial" w:hAnsi="Arial" w:cs="Arial"/>
              <w:sz w:val="20"/>
              <w:szCs w:val="20"/>
            </w:rPr>
            <w:t xml:space="preserve"> 2021</w:t>
          </w:r>
        </w:p>
      </w:sdtContent>
    </w:sdt>
    <w:p w14:paraId="183780A1" w14:textId="77777777" w:rsidR="00B912C2" w:rsidRPr="000A48D0" w:rsidRDefault="00B912C2" w:rsidP="000A48D0">
      <w:pPr>
        <w:jc w:val="both"/>
        <w:rPr>
          <w:rFonts w:ascii="Arial" w:hAnsi="Arial" w:cs="Arial"/>
          <w:sz w:val="20"/>
          <w:szCs w:val="20"/>
        </w:rPr>
      </w:pPr>
    </w:p>
    <w:p w14:paraId="244E5A69" w14:textId="2AD0A037" w:rsidR="00B912C2" w:rsidRPr="000A48D0" w:rsidRDefault="00E87187" w:rsidP="000A48D0">
      <w:pPr>
        <w:jc w:val="both"/>
        <w:rPr>
          <w:rFonts w:ascii="Arial" w:hAnsi="Arial" w:cs="Arial"/>
          <w:sz w:val="20"/>
          <w:szCs w:val="20"/>
        </w:rPr>
      </w:pPr>
      <w:r w:rsidRPr="000A48D0">
        <w:rPr>
          <w:rFonts w:ascii="Arial" w:hAnsi="Arial" w:cs="Arial"/>
          <w:sz w:val="20"/>
          <w:szCs w:val="20"/>
        </w:rPr>
        <w:t xml:space="preserve">To whom it may concern, </w:t>
      </w:r>
    </w:p>
    <w:p w14:paraId="13984832" w14:textId="77777777" w:rsidR="009D2996" w:rsidRDefault="009D2996" w:rsidP="000A48D0">
      <w:pPr>
        <w:jc w:val="both"/>
        <w:rPr>
          <w:rFonts w:ascii="Arial" w:hAnsi="Arial" w:cs="Arial"/>
          <w:b/>
          <w:bCs/>
          <w:color w:val="000000"/>
          <w:sz w:val="20"/>
          <w:szCs w:val="20"/>
        </w:rPr>
      </w:pPr>
      <w:r w:rsidRPr="009D2996">
        <w:rPr>
          <w:rFonts w:ascii="Arial" w:hAnsi="Arial" w:cs="Arial"/>
          <w:b/>
          <w:bCs/>
          <w:color w:val="000000"/>
          <w:sz w:val="20"/>
          <w:szCs w:val="20"/>
        </w:rPr>
        <w:t>Call For Evidence – Transmission Network Use of System Charges</w:t>
      </w:r>
    </w:p>
    <w:p w14:paraId="34A4B74B" w14:textId="3D94ACEB" w:rsidR="00334631" w:rsidRDefault="00BC38E2" w:rsidP="000A48D0">
      <w:pPr>
        <w:jc w:val="both"/>
        <w:rPr>
          <w:rFonts w:ascii="Arial" w:hAnsi="Arial" w:cs="Arial"/>
          <w:sz w:val="20"/>
          <w:szCs w:val="20"/>
        </w:rPr>
      </w:pPr>
      <w:r w:rsidRPr="000A48D0">
        <w:rPr>
          <w:rFonts w:ascii="Arial" w:hAnsi="Arial" w:cs="Arial"/>
          <w:sz w:val="20"/>
          <w:szCs w:val="20"/>
        </w:rPr>
        <w:t>Scottish Renewables is the voice of Scotland’s renewable energy industry, working to grow the sector and sustain its position at the forefront of the global clean energy transition.</w:t>
      </w:r>
      <w:r w:rsidR="00DB3717">
        <w:rPr>
          <w:rFonts w:ascii="Arial" w:hAnsi="Arial" w:cs="Arial"/>
          <w:sz w:val="20"/>
          <w:szCs w:val="20"/>
        </w:rPr>
        <w:t xml:space="preserve"> </w:t>
      </w:r>
      <w:r w:rsidRPr="000A48D0">
        <w:rPr>
          <w:rFonts w:ascii="Arial" w:hAnsi="Arial" w:cs="Arial"/>
          <w:sz w:val="20"/>
          <w:szCs w:val="20"/>
        </w:rPr>
        <w:t xml:space="preserve">We represent around 260 organisations across the full range of renewable energy technologies in Scotland and around the world, ranging from energy suppliers, operators and manufacturers to small developers, </w:t>
      </w:r>
      <w:r w:rsidR="001C3951" w:rsidRPr="000A48D0">
        <w:rPr>
          <w:rFonts w:ascii="Arial" w:hAnsi="Arial" w:cs="Arial"/>
          <w:sz w:val="20"/>
          <w:szCs w:val="20"/>
        </w:rPr>
        <w:t>installers,</w:t>
      </w:r>
      <w:r w:rsidRPr="000A48D0">
        <w:rPr>
          <w:rFonts w:ascii="Arial" w:hAnsi="Arial" w:cs="Arial"/>
          <w:sz w:val="20"/>
          <w:szCs w:val="20"/>
        </w:rPr>
        <w:t xml:space="preserve"> and community groups, as well as companies throughout the supply chain.</w:t>
      </w:r>
    </w:p>
    <w:p w14:paraId="0F3B1D1F" w14:textId="77777777" w:rsidR="00DB3717" w:rsidRPr="00B14D9A" w:rsidRDefault="00460116" w:rsidP="00460116">
      <w:pPr>
        <w:jc w:val="both"/>
        <w:rPr>
          <w:rFonts w:ascii="Arial" w:hAnsi="Arial" w:cs="Arial"/>
          <w:sz w:val="20"/>
          <w:szCs w:val="20"/>
        </w:rPr>
      </w:pPr>
      <w:r w:rsidRPr="00166588">
        <w:rPr>
          <w:rFonts w:ascii="Arial" w:hAnsi="Arial" w:cs="Arial"/>
          <w:sz w:val="20"/>
          <w:szCs w:val="20"/>
        </w:rPr>
        <w:t xml:space="preserve">Scottish Renewables welcomes the opportunity to provide written evidence to Ofgem into the call for </w:t>
      </w:r>
      <w:r w:rsidRPr="00B14D9A">
        <w:rPr>
          <w:rFonts w:ascii="Arial" w:hAnsi="Arial" w:cs="Arial"/>
          <w:sz w:val="20"/>
          <w:szCs w:val="20"/>
        </w:rPr>
        <w:t>evidence on Transmission Network Use of System Charges (</w:t>
      </w:r>
      <w:proofErr w:type="spellStart"/>
      <w:r w:rsidRPr="00B14D9A">
        <w:rPr>
          <w:rFonts w:ascii="Arial" w:hAnsi="Arial" w:cs="Arial"/>
          <w:sz w:val="20"/>
          <w:szCs w:val="20"/>
        </w:rPr>
        <w:t>TNUoS</w:t>
      </w:r>
      <w:proofErr w:type="spellEnd"/>
      <w:r w:rsidRPr="00B14D9A">
        <w:rPr>
          <w:rFonts w:ascii="Arial" w:hAnsi="Arial" w:cs="Arial"/>
          <w:sz w:val="20"/>
          <w:szCs w:val="20"/>
        </w:rPr>
        <w:t>).</w:t>
      </w:r>
      <w:r w:rsidR="00166588" w:rsidRPr="00B14D9A">
        <w:rPr>
          <w:rFonts w:ascii="Arial" w:hAnsi="Arial" w:cs="Arial"/>
          <w:sz w:val="20"/>
          <w:szCs w:val="20"/>
        </w:rPr>
        <w:t xml:space="preserve"> </w:t>
      </w:r>
    </w:p>
    <w:p w14:paraId="479A6C60" w14:textId="4898C5A5" w:rsidR="00460116" w:rsidRPr="00B14D9A" w:rsidRDefault="00460116" w:rsidP="00460116">
      <w:pPr>
        <w:jc w:val="both"/>
        <w:rPr>
          <w:rFonts w:ascii="Arial" w:hAnsi="Arial" w:cs="Arial"/>
          <w:sz w:val="20"/>
          <w:szCs w:val="20"/>
        </w:rPr>
      </w:pPr>
      <w:proofErr w:type="spellStart"/>
      <w:r w:rsidRPr="00B14D9A">
        <w:rPr>
          <w:rFonts w:ascii="Arial" w:hAnsi="Arial" w:cs="Arial"/>
          <w:sz w:val="20"/>
          <w:szCs w:val="20"/>
        </w:rPr>
        <w:t>TNUoS</w:t>
      </w:r>
      <w:proofErr w:type="spellEnd"/>
      <w:r w:rsidRPr="00B14D9A">
        <w:rPr>
          <w:rFonts w:ascii="Arial" w:hAnsi="Arial" w:cs="Arial"/>
          <w:sz w:val="20"/>
          <w:szCs w:val="20"/>
        </w:rPr>
        <w:t xml:space="preserve"> presents a complex challenge for our </w:t>
      </w:r>
      <w:r w:rsidR="006726F1" w:rsidRPr="00B14D9A">
        <w:rPr>
          <w:rFonts w:ascii="Arial" w:hAnsi="Arial" w:cs="Arial"/>
          <w:sz w:val="20"/>
          <w:szCs w:val="20"/>
        </w:rPr>
        <w:t>industry,</w:t>
      </w:r>
      <w:r w:rsidR="00DB3717" w:rsidRPr="00B14D9A">
        <w:rPr>
          <w:rFonts w:ascii="Arial" w:hAnsi="Arial" w:cs="Arial"/>
          <w:sz w:val="20"/>
          <w:szCs w:val="20"/>
        </w:rPr>
        <w:t xml:space="preserve"> and it</w:t>
      </w:r>
      <w:r w:rsidRPr="00B14D9A">
        <w:rPr>
          <w:rFonts w:ascii="Arial" w:hAnsi="Arial" w:cs="Arial"/>
          <w:sz w:val="20"/>
          <w:szCs w:val="20"/>
        </w:rPr>
        <w:t xml:space="preserve"> is also a long-standing issue</w:t>
      </w:r>
      <w:r w:rsidR="006726F1" w:rsidRPr="00B14D9A">
        <w:rPr>
          <w:rFonts w:ascii="Arial" w:hAnsi="Arial" w:cs="Arial"/>
          <w:sz w:val="20"/>
          <w:szCs w:val="20"/>
        </w:rPr>
        <w:t xml:space="preserve"> that need</w:t>
      </w:r>
      <w:r w:rsidR="00B14D9A" w:rsidRPr="00B14D9A">
        <w:rPr>
          <w:rFonts w:ascii="Arial" w:hAnsi="Arial" w:cs="Arial"/>
          <w:sz w:val="20"/>
          <w:szCs w:val="20"/>
        </w:rPr>
        <w:t>s</w:t>
      </w:r>
      <w:r w:rsidR="006726F1" w:rsidRPr="00B14D9A">
        <w:rPr>
          <w:rFonts w:ascii="Arial" w:hAnsi="Arial" w:cs="Arial"/>
          <w:sz w:val="20"/>
          <w:szCs w:val="20"/>
        </w:rPr>
        <w:t xml:space="preserve"> to be addressed as we move to a low carbon energy system. The need for reform </w:t>
      </w:r>
      <w:r w:rsidRPr="00B14D9A">
        <w:rPr>
          <w:rFonts w:ascii="Arial" w:hAnsi="Arial" w:cs="Arial"/>
          <w:sz w:val="20"/>
          <w:szCs w:val="20"/>
        </w:rPr>
        <w:t xml:space="preserve">is becoming more urgent as we seek to deploy large levels of renewable technology to meet </w:t>
      </w:r>
      <w:r w:rsidR="006726F1" w:rsidRPr="00B14D9A">
        <w:rPr>
          <w:rFonts w:ascii="Arial" w:hAnsi="Arial" w:cs="Arial"/>
          <w:sz w:val="20"/>
          <w:szCs w:val="20"/>
        </w:rPr>
        <w:t>our net zero targets.</w:t>
      </w:r>
    </w:p>
    <w:p w14:paraId="0A3C8861" w14:textId="77777777" w:rsidR="00460116" w:rsidRPr="00B14D9A" w:rsidRDefault="00460116" w:rsidP="00460116">
      <w:pPr>
        <w:jc w:val="both"/>
        <w:rPr>
          <w:rFonts w:ascii="Arial" w:hAnsi="Arial" w:cs="Arial"/>
          <w:sz w:val="20"/>
          <w:szCs w:val="20"/>
        </w:rPr>
      </w:pPr>
      <w:r w:rsidRPr="00B14D9A">
        <w:rPr>
          <w:rFonts w:ascii="Arial" w:hAnsi="Arial" w:cs="Arial"/>
          <w:sz w:val="20"/>
          <w:szCs w:val="20"/>
        </w:rPr>
        <w:t>In responding to this consultation, we would like to draw your attention to the following points:</w:t>
      </w:r>
    </w:p>
    <w:p w14:paraId="4F489B1F" w14:textId="2D552C91" w:rsidR="00460116" w:rsidRPr="00B14D9A" w:rsidRDefault="002F3C07" w:rsidP="00460116">
      <w:pPr>
        <w:pStyle w:val="ListParagraph"/>
        <w:numPr>
          <w:ilvl w:val="0"/>
          <w:numId w:val="8"/>
        </w:numPr>
        <w:spacing w:line="276" w:lineRule="auto"/>
        <w:jc w:val="both"/>
        <w:rPr>
          <w:rFonts w:cs="Arial"/>
          <w:sz w:val="20"/>
          <w:szCs w:val="20"/>
        </w:rPr>
      </w:pPr>
      <w:r w:rsidRPr="00B14D9A">
        <w:rPr>
          <w:rFonts w:cs="Arial"/>
          <w:sz w:val="20"/>
          <w:szCs w:val="20"/>
        </w:rPr>
        <w:t>It is essential that there is a wider reform of</w:t>
      </w:r>
      <w:r w:rsidR="00460116" w:rsidRPr="00B14D9A">
        <w:rPr>
          <w:rFonts w:cs="Arial"/>
          <w:sz w:val="20"/>
          <w:szCs w:val="20"/>
        </w:rPr>
        <w:t xml:space="preserve"> </w:t>
      </w:r>
      <w:proofErr w:type="spellStart"/>
      <w:r w:rsidR="00460116" w:rsidRPr="00B14D9A">
        <w:rPr>
          <w:rFonts w:cs="Arial"/>
          <w:sz w:val="20"/>
          <w:szCs w:val="20"/>
        </w:rPr>
        <w:t>TNUoS</w:t>
      </w:r>
      <w:proofErr w:type="spellEnd"/>
      <w:r w:rsidR="00460116" w:rsidRPr="00B14D9A">
        <w:rPr>
          <w:rFonts w:cs="Arial"/>
          <w:sz w:val="20"/>
          <w:szCs w:val="20"/>
        </w:rPr>
        <w:t xml:space="preserve"> to meet the following criteria: Net zero alignment, stability &amp; predictability, cost-</w:t>
      </w:r>
      <w:proofErr w:type="gramStart"/>
      <w:r w:rsidR="00460116" w:rsidRPr="00B14D9A">
        <w:rPr>
          <w:rFonts w:cs="Arial"/>
          <w:sz w:val="20"/>
          <w:szCs w:val="20"/>
        </w:rPr>
        <w:t>reflectivity</w:t>
      </w:r>
      <w:proofErr w:type="gramEnd"/>
      <w:r w:rsidR="00460116" w:rsidRPr="00B14D9A">
        <w:rPr>
          <w:rFonts w:cs="Arial"/>
          <w:sz w:val="20"/>
          <w:szCs w:val="20"/>
        </w:rPr>
        <w:t xml:space="preserve"> and recognition of geographic diversity of renewables.</w:t>
      </w:r>
    </w:p>
    <w:p w14:paraId="75F6D0E5" w14:textId="77777777" w:rsidR="006817D9" w:rsidRPr="00B14D9A" w:rsidRDefault="006817D9" w:rsidP="006817D9">
      <w:pPr>
        <w:pStyle w:val="ListParagraph"/>
        <w:spacing w:line="276" w:lineRule="auto"/>
        <w:jc w:val="both"/>
        <w:rPr>
          <w:rFonts w:cs="Arial"/>
          <w:sz w:val="20"/>
          <w:szCs w:val="20"/>
        </w:rPr>
      </w:pPr>
    </w:p>
    <w:p w14:paraId="3F0B4A51" w14:textId="55958B92" w:rsidR="002F3C07" w:rsidRPr="00B14D9A" w:rsidRDefault="00460116" w:rsidP="002F3C07">
      <w:pPr>
        <w:pStyle w:val="ListParagraph"/>
        <w:numPr>
          <w:ilvl w:val="0"/>
          <w:numId w:val="8"/>
        </w:numPr>
        <w:spacing w:line="276" w:lineRule="auto"/>
        <w:jc w:val="both"/>
        <w:rPr>
          <w:rFonts w:cs="Arial"/>
          <w:sz w:val="20"/>
          <w:szCs w:val="20"/>
        </w:rPr>
      </w:pPr>
      <w:r w:rsidRPr="00B14D9A">
        <w:rPr>
          <w:rFonts w:cs="Arial"/>
          <w:sz w:val="20"/>
          <w:szCs w:val="20"/>
        </w:rPr>
        <w:t>The main element</w:t>
      </w:r>
      <w:r w:rsidR="005949A6" w:rsidRPr="00B14D9A">
        <w:rPr>
          <w:rFonts w:cs="Arial"/>
          <w:sz w:val="20"/>
          <w:szCs w:val="20"/>
        </w:rPr>
        <w:t>s</w:t>
      </w:r>
      <w:r w:rsidRPr="00B14D9A">
        <w:rPr>
          <w:rFonts w:cs="Arial"/>
          <w:sz w:val="20"/>
          <w:szCs w:val="20"/>
        </w:rPr>
        <w:t xml:space="preserve"> of </w:t>
      </w:r>
      <w:proofErr w:type="spellStart"/>
      <w:r w:rsidRPr="00B14D9A">
        <w:rPr>
          <w:rFonts w:cs="Arial"/>
          <w:sz w:val="20"/>
          <w:szCs w:val="20"/>
        </w:rPr>
        <w:t>TNUoS</w:t>
      </w:r>
      <w:proofErr w:type="spellEnd"/>
      <w:r w:rsidRPr="00B14D9A">
        <w:rPr>
          <w:rFonts w:cs="Arial"/>
          <w:sz w:val="20"/>
          <w:szCs w:val="20"/>
        </w:rPr>
        <w:t xml:space="preserve"> methodology that </w:t>
      </w:r>
      <w:r w:rsidR="005949A6" w:rsidRPr="00B14D9A">
        <w:rPr>
          <w:rFonts w:cs="Arial"/>
          <w:sz w:val="20"/>
          <w:szCs w:val="20"/>
        </w:rPr>
        <w:t>are</w:t>
      </w:r>
      <w:r w:rsidRPr="00B14D9A">
        <w:rPr>
          <w:rFonts w:cs="Arial"/>
          <w:sz w:val="20"/>
          <w:szCs w:val="20"/>
        </w:rPr>
        <w:t xml:space="preserve"> driv</w:t>
      </w:r>
      <w:r w:rsidR="00B14D9A" w:rsidRPr="00B14D9A">
        <w:rPr>
          <w:rFonts w:cs="Arial"/>
          <w:sz w:val="20"/>
          <w:szCs w:val="20"/>
        </w:rPr>
        <w:t>ing</w:t>
      </w:r>
      <w:r w:rsidRPr="00B14D9A">
        <w:rPr>
          <w:rFonts w:cs="Arial"/>
          <w:sz w:val="20"/>
          <w:szCs w:val="20"/>
        </w:rPr>
        <w:t xml:space="preserve"> the current disparity on locational charges </w:t>
      </w:r>
      <w:r w:rsidR="005949A6" w:rsidRPr="00B14D9A">
        <w:rPr>
          <w:rFonts w:cs="Arial"/>
          <w:sz w:val="20"/>
          <w:szCs w:val="20"/>
        </w:rPr>
        <w:t>are</w:t>
      </w:r>
      <w:r w:rsidRPr="00B14D9A">
        <w:rPr>
          <w:rFonts w:cs="Arial"/>
          <w:sz w:val="20"/>
          <w:szCs w:val="20"/>
        </w:rPr>
        <w:t xml:space="preserve"> in the wider tariff, specifically in the Year Round Shared and </w:t>
      </w:r>
      <w:proofErr w:type="gramStart"/>
      <w:r w:rsidR="00166588" w:rsidRPr="00B14D9A">
        <w:rPr>
          <w:rFonts w:cs="Arial"/>
          <w:sz w:val="20"/>
          <w:szCs w:val="20"/>
        </w:rPr>
        <w:t>Year Round</w:t>
      </w:r>
      <w:proofErr w:type="gramEnd"/>
      <w:r w:rsidRPr="00B14D9A">
        <w:rPr>
          <w:rFonts w:cs="Arial"/>
          <w:sz w:val="20"/>
          <w:szCs w:val="20"/>
        </w:rPr>
        <w:t xml:space="preserve"> Not Shared elements. </w:t>
      </w:r>
      <w:r w:rsidR="006726F1" w:rsidRPr="00B14D9A">
        <w:rPr>
          <w:rFonts w:cs="Arial"/>
          <w:sz w:val="20"/>
          <w:szCs w:val="20"/>
        </w:rPr>
        <w:t xml:space="preserve">Therefore, </w:t>
      </w:r>
      <w:r w:rsidR="002F3C07" w:rsidRPr="00B14D9A">
        <w:rPr>
          <w:rFonts w:cs="Arial"/>
          <w:sz w:val="20"/>
          <w:szCs w:val="20"/>
        </w:rPr>
        <w:t xml:space="preserve">a </w:t>
      </w:r>
      <w:r w:rsidRPr="00B14D9A">
        <w:rPr>
          <w:rFonts w:cs="Arial"/>
          <w:sz w:val="20"/>
          <w:szCs w:val="20"/>
        </w:rPr>
        <w:t xml:space="preserve">review </w:t>
      </w:r>
      <w:r w:rsidR="002F3C07" w:rsidRPr="00B14D9A">
        <w:rPr>
          <w:rFonts w:cs="Arial"/>
          <w:sz w:val="20"/>
          <w:szCs w:val="20"/>
        </w:rPr>
        <w:t>of these element</w:t>
      </w:r>
      <w:r w:rsidR="005C0FD4" w:rsidRPr="00B14D9A">
        <w:rPr>
          <w:rFonts w:cs="Arial"/>
          <w:sz w:val="20"/>
          <w:szCs w:val="20"/>
        </w:rPr>
        <w:t>s</w:t>
      </w:r>
      <w:r w:rsidR="002F3C07" w:rsidRPr="00B14D9A">
        <w:rPr>
          <w:rFonts w:cs="Arial"/>
          <w:sz w:val="20"/>
          <w:szCs w:val="20"/>
        </w:rPr>
        <w:t xml:space="preserve"> is critical </w:t>
      </w:r>
      <w:r w:rsidRPr="00B14D9A">
        <w:rPr>
          <w:rFonts w:cs="Arial"/>
          <w:sz w:val="20"/>
          <w:szCs w:val="20"/>
        </w:rPr>
        <w:t>as they are the ones who are driv</w:t>
      </w:r>
      <w:r w:rsidR="00B14D9A" w:rsidRPr="00B14D9A">
        <w:rPr>
          <w:rFonts w:cs="Arial"/>
          <w:sz w:val="20"/>
          <w:szCs w:val="20"/>
        </w:rPr>
        <w:t xml:space="preserve">ing </w:t>
      </w:r>
      <w:r w:rsidRPr="00B14D9A">
        <w:rPr>
          <w:rFonts w:cs="Arial"/>
          <w:sz w:val="20"/>
          <w:szCs w:val="20"/>
        </w:rPr>
        <w:t>volatility and leading to the misalignment with net zero</w:t>
      </w:r>
      <w:r w:rsidR="00B14D9A" w:rsidRPr="00B14D9A">
        <w:rPr>
          <w:rFonts w:cs="Arial"/>
          <w:sz w:val="20"/>
          <w:szCs w:val="20"/>
        </w:rPr>
        <w:t>.</w:t>
      </w:r>
    </w:p>
    <w:p w14:paraId="2F2EEE40" w14:textId="77777777" w:rsidR="002F3C07" w:rsidRPr="00B14D9A" w:rsidRDefault="002F3C07" w:rsidP="002F3C07">
      <w:pPr>
        <w:pStyle w:val="ListParagraph"/>
        <w:rPr>
          <w:rFonts w:cs="Arial"/>
          <w:sz w:val="20"/>
          <w:szCs w:val="20"/>
        </w:rPr>
      </w:pPr>
    </w:p>
    <w:p w14:paraId="0BCD098E" w14:textId="62B2D477" w:rsidR="00460116" w:rsidRPr="00B14D9A" w:rsidRDefault="002F3C07" w:rsidP="002F3C07">
      <w:pPr>
        <w:pStyle w:val="ListParagraph"/>
        <w:numPr>
          <w:ilvl w:val="0"/>
          <w:numId w:val="8"/>
        </w:numPr>
        <w:spacing w:line="276" w:lineRule="auto"/>
        <w:jc w:val="both"/>
        <w:rPr>
          <w:rFonts w:cs="Arial"/>
          <w:sz w:val="20"/>
          <w:szCs w:val="20"/>
        </w:rPr>
      </w:pPr>
      <w:r w:rsidRPr="00B14D9A">
        <w:rPr>
          <w:rFonts w:cs="Arial"/>
          <w:sz w:val="20"/>
          <w:szCs w:val="20"/>
        </w:rPr>
        <w:t>T</w:t>
      </w:r>
      <w:r w:rsidR="00460116" w:rsidRPr="00B14D9A">
        <w:rPr>
          <w:rFonts w:cs="Arial"/>
          <w:sz w:val="20"/>
          <w:szCs w:val="20"/>
        </w:rPr>
        <w:t>he use of multipliers can</w:t>
      </w:r>
      <w:r w:rsidR="005C0FD4" w:rsidRPr="00B14D9A">
        <w:rPr>
          <w:rFonts w:cs="Arial"/>
          <w:sz w:val="20"/>
          <w:szCs w:val="20"/>
        </w:rPr>
        <w:t xml:space="preserve"> </w:t>
      </w:r>
      <w:r w:rsidR="00460116" w:rsidRPr="00B14D9A">
        <w:rPr>
          <w:rFonts w:cs="Arial"/>
          <w:sz w:val="20"/>
          <w:szCs w:val="20"/>
        </w:rPr>
        <w:t xml:space="preserve">help to mitigate volatility and the disparity on locational charges. </w:t>
      </w:r>
      <w:r w:rsidR="005C0FD4" w:rsidRPr="00B14D9A">
        <w:rPr>
          <w:rFonts w:cs="Arial"/>
          <w:sz w:val="20"/>
          <w:szCs w:val="20"/>
        </w:rPr>
        <w:t>Multipliers</w:t>
      </w:r>
      <w:r w:rsidR="00460116" w:rsidRPr="00B14D9A">
        <w:rPr>
          <w:rFonts w:cs="Arial"/>
          <w:sz w:val="20"/>
          <w:szCs w:val="20"/>
        </w:rPr>
        <w:t xml:space="preserve"> could also lead to a more cost reflective regime.</w:t>
      </w:r>
    </w:p>
    <w:p w14:paraId="2855A293" w14:textId="77777777" w:rsidR="006817D9" w:rsidRPr="00B14D9A" w:rsidRDefault="006817D9" w:rsidP="006817D9">
      <w:pPr>
        <w:pStyle w:val="ListParagraph"/>
        <w:spacing w:line="276" w:lineRule="auto"/>
        <w:jc w:val="both"/>
        <w:rPr>
          <w:rFonts w:cs="Arial"/>
          <w:sz w:val="20"/>
          <w:szCs w:val="20"/>
        </w:rPr>
      </w:pPr>
    </w:p>
    <w:p w14:paraId="4F8431C8" w14:textId="754BC072" w:rsidR="00E56FF3" w:rsidRPr="00B14D9A" w:rsidRDefault="002F3C07" w:rsidP="00E56FF3">
      <w:pPr>
        <w:pStyle w:val="ListParagraph"/>
        <w:numPr>
          <w:ilvl w:val="0"/>
          <w:numId w:val="8"/>
        </w:numPr>
        <w:spacing w:before="240" w:line="276" w:lineRule="auto"/>
        <w:jc w:val="both"/>
        <w:rPr>
          <w:rFonts w:cs="Arial"/>
          <w:sz w:val="20"/>
          <w:szCs w:val="20"/>
        </w:rPr>
      </w:pPr>
      <w:r w:rsidRPr="00B14D9A">
        <w:rPr>
          <w:rFonts w:cs="Arial"/>
          <w:sz w:val="20"/>
          <w:szCs w:val="20"/>
        </w:rPr>
        <w:t>A task force approach seems to be the best vehicle for change to carry out this reform</w:t>
      </w:r>
      <w:r w:rsidR="00460116" w:rsidRPr="00B14D9A">
        <w:rPr>
          <w:rFonts w:cs="Arial"/>
          <w:sz w:val="20"/>
          <w:szCs w:val="20"/>
        </w:rPr>
        <w:t xml:space="preserve">. We also </w:t>
      </w:r>
      <w:r w:rsidR="00E56FF3" w:rsidRPr="00B14D9A">
        <w:rPr>
          <w:rFonts w:cs="Arial"/>
          <w:sz w:val="20"/>
          <w:szCs w:val="20"/>
        </w:rPr>
        <w:t>suggest</w:t>
      </w:r>
      <w:r w:rsidR="00460116" w:rsidRPr="00B14D9A">
        <w:rPr>
          <w:rFonts w:cs="Arial"/>
          <w:sz w:val="20"/>
          <w:szCs w:val="20"/>
        </w:rPr>
        <w:t xml:space="preserve"> this reform be led by Ofgem and BEIS</w:t>
      </w:r>
      <w:r w:rsidR="003715CA" w:rsidRPr="00B14D9A">
        <w:rPr>
          <w:rFonts w:cs="Arial"/>
          <w:sz w:val="20"/>
          <w:szCs w:val="20"/>
        </w:rPr>
        <w:t xml:space="preserve">, as this will require </w:t>
      </w:r>
      <w:r w:rsidR="003715CA" w:rsidRPr="00B14D9A">
        <w:rPr>
          <w:rFonts w:cs="Arial"/>
          <w:sz w:val="20"/>
          <w:szCs w:val="20"/>
        </w:rPr>
        <w:t xml:space="preserve">strong leadership from a suitable independent body with expertise of network charging and commercial awareness to meet government ambitions. </w:t>
      </w:r>
    </w:p>
    <w:p w14:paraId="563F253B" w14:textId="77777777" w:rsidR="00E56FF3" w:rsidRPr="00B14D9A" w:rsidRDefault="00E56FF3" w:rsidP="00E56FF3">
      <w:pPr>
        <w:pStyle w:val="ListParagraph"/>
        <w:spacing w:before="240" w:line="276" w:lineRule="auto"/>
        <w:jc w:val="both"/>
        <w:rPr>
          <w:rFonts w:cs="Arial"/>
          <w:sz w:val="20"/>
          <w:szCs w:val="20"/>
        </w:rPr>
      </w:pPr>
    </w:p>
    <w:p w14:paraId="3D4576AE" w14:textId="044DED3A" w:rsidR="00DB3717" w:rsidRPr="00B14D9A" w:rsidRDefault="00E56FF3" w:rsidP="00DB3717">
      <w:pPr>
        <w:pStyle w:val="ListParagraph"/>
        <w:numPr>
          <w:ilvl w:val="0"/>
          <w:numId w:val="8"/>
        </w:numPr>
        <w:spacing w:before="240" w:line="276" w:lineRule="auto"/>
        <w:jc w:val="both"/>
        <w:rPr>
          <w:rFonts w:cs="Arial"/>
          <w:sz w:val="20"/>
          <w:szCs w:val="20"/>
        </w:rPr>
      </w:pPr>
      <w:r w:rsidRPr="00B14D9A">
        <w:rPr>
          <w:rFonts w:cs="Arial"/>
          <w:sz w:val="20"/>
          <w:szCs w:val="20"/>
        </w:rPr>
        <w:t>Flexibility will become increasingly important as we move to a renewable</w:t>
      </w:r>
      <w:r w:rsidR="00753D40" w:rsidRPr="00B14D9A">
        <w:rPr>
          <w:rFonts w:cs="Arial"/>
          <w:sz w:val="20"/>
          <w:szCs w:val="20"/>
        </w:rPr>
        <w:t>-</w:t>
      </w:r>
      <w:r w:rsidRPr="00B14D9A">
        <w:rPr>
          <w:rFonts w:cs="Arial"/>
          <w:sz w:val="20"/>
          <w:szCs w:val="20"/>
        </w:rPr>
        <w:t xml:space="preserve">based energy system. </w:t>
      </w:r>
      <w:r w:rsidR="003715CA" w:rsidRPr="00B14D9A">
        <w:rPr>
          <w:rFonts w:cs="Arial"/>
          <w:sz w:val="20"/>
          <w:szCs w:val="20"/>
        </w:rPr>
        <w:t>Hence</w:t>
      </w:r>
      <w:r w:rsidRPr="00B14D9A">
        <w:rPr>
          <w:rFonts w:cs="Arial"/>
          <w:sz w:val="20"/>
          <w:szCs w:val="20"/>
        </w:rPr>
        <w:t>, w</w:t>
      </w:r>
      <w:r w:rsidR="00DB3717" w:rsidRPr="00B14D9A">
        <w:rPr>
          <w:rFonts w:cs="Arial"/>
          <w:sz w:val="20"/>
          <w:szCs w:val="20"/>
        </w:rPr>
        <w:t xml:space="preserve">e consider that the flexibility and locational benefits of </w:t>
      </w:r>
      <w:r w:rsidR="00DB3717" w:rsidRPr="00B14D9A">
        <w:rPr>
          <w:rFonts w:cs="Arial"/>
          <w:sz w:val="20"/>
          <w:szCs w:val="20"/>
        </w:rPr>
        <w:t>storage, particularly Large Scale and Long Duration Storage (</w:t>
      </w:r>
      <w:r w:rsidR="00DB3717" w:rsidRPr="00B14D9A">
        <w:rPr>
          <w:rFonts w:cs="Arial"/>
          <w:sz w:val="20"/>
          <w:szCs w:val="20"/>
        </w:rPr>
        <w:t>LLES</w:t>
      </w:r>
      <w:r w:rsidR="00DB3717" w:rsidRPr="00B14D9A">
        <w:rPr>
          <w:rFonts w:cs="Arial"/>
          <w:sz w:val="20"/>
          <w:szCs w:val="20"/>
        </w:rPr>
        <w:t>),</w:t>
      </w:r>
      <w:r w:rsidR="00DB3717" w:rsidRPr="00B14D9A">
        <w:rPr>
          <w:rFonts w:cs="Arial"/>
          <w:sz w:val="20"/>
          <w:szCs w:val="20"/>
        </w:rPr>
        <w:t xml:space="preserve"> should specifically be </w:t>
      </w:r>
      <w:proofErr w:type="gramStart"/>
      <w:r w:rsidR="00DB3717" w:rsidRPr="00B14D9A">
        <w:rPr>
          <w:rFonts w:cs="Arial"/>
          <w:sz w:val="20"/>
          <w:szCs w:val="20"/>
        </w:rPr>
        <w:t>taken into account</w:t>
      </w:r>
      <w:proofErr w:type="gramEnd"/>
      <w:r w:rsidR="00DB3717" w:rsidRPr="00B14D9A">
        <w:rPr>
          <w:rFonts w:cs="Arial"/>
          <w:sz w:val="20"/>
          <w:szCs w:val="20"/>
        </w:rPr>
        <w:t xml:space="preserve"> in the design of transmission charges, recognising and thereby incentivising the value that these assets provide.   </w:t>
      </w:r>
    </w:p>
    <w:p w14:paraId="246538EB" w14:textId="77777777" w:rsidR="00DB3717" w:rsidRPr="00B14D9A" w:rsidRDefault="00DB3717" w:rsidP="00DB3717">
      <w:pPr>
        <w:pStyle w:val="ListParagraph"/>
        <w:spacing w:before="240" w:line="276" w:lineRule="auto"/>
        <w:jc w:val="both"/>
        <w:rPr>
          <w:rFonts w:cs="Arial"/>
          <w:sz w:val="20"/>
          <w:szCs w:val="20"/>
        </w:rPr>
      </w:pPr>
    </w:p>
    <w:p w14:paraId="272B41F8" w14:textId="22BBE53B" w:rsidR="009D2996" w:rsidRPr="00B14D9A" w:rsidRDefault="00460116" w:rsidP="00DB3717">
      <w:pPr>
        <w:pStyle w:val="ListParagraph"/>
        <w:numPr>
          <w:ilvl w:val="0"/>
          <w:numId w:val="8"/>
        </w:numPr>
        <w:spacing w:before="240" w:line="276" w:lineRule="auto"/>
        <w:jc w:val="both"/>
        <w:rPr>
          <w:rFonts w:cs="Arial"/>
          <w:sz w:val="20"/>
          <w:szCs w:val="20"/>
        </w:rPr>
      </w:pPr>
      <w:r w:rsidRPr="00B14D9A">
        <w:rPr>
          <w:rFonts w:cs="Arial"/>
          <w:sz w:val="20"/>
          <w:szCs w:val="20"/>
        </w:rPr>
        <w:t xml:space="preserve">A suitable timeline for reform should be between 2 and 3 years in line with the OTNR. </w:t>
      </w:r>
    </w:p>
    <w:p w14:paraId="63752068" w14:textId="3FD61819" w:rsidR="00DB3717" w:rsidRDefault="00DB3717" w:rsidP="009D2996">
      <w:pPr>
        <w:jc w:val="both"/>
        <w:rPr>
          <w:rFonts w:ascii="Arial" w:hAnsi="Arial" w:cs="Arial"/>
          <w:sz w:val="20"/>
          <w:szCs w:val="20"/>
        </w:rPr>
      </w:pPr>
    </w:p>
    <w:p w14:paraId="13675FC3" w14:textId="7FD165CC" w:rsidR="00DB3717" w:rsidRDefault="00DB3717" w:rsidP="009D2996">
      <w:pPr>
        <w:jc w:val="both"/>
        <w:rPr>
          <w:rFonts w:ascii="Arial" w:hAnsi="Arial" w:cs="Arial"/>
          <w:sz w:val="20"/>
          <w:szCs w:val="20"/>
        </w:rPr>
      </w:pPr>
    </w:p>
    <w:p w14:paraId="6BB510A6" w14:textId="642E68BE" w:rsidR="003C1FC0" w:rsidRPr="009D2996" w:rsidRDefault="003C1FC0" w:rsidP="009D2996">
      <w:pPr>
        <w:jc w:val="both"/>
        <w:rPr>
          <w:rFonts w:ascii="Arial" w:hAnsi="Arial" w:cs="Arial"/>
          <w:sz w:val="20"/>
          <w:szCs w:val="20"/>
        </w:rPr>
      </w:pPr>
      <w:r w:rsidRPr="009D2996">
        <w:rPr>
          <w:rFonts w:ascii="Arial" w:hAnsi="Arial" w:cs="Arial"/>
          <w:sz w:val="20"/>
          <w:szCs w:val="20"/>
        </w:rPr>
        <w:t xml:space="preserve">Scottish Renewables would be keen to engage further with this agenda and would be happy to </w:t>
      </w:r>
      <w:r w:rsidR="00332CE2" w:rsidRPr="009D2996">
        <w:rPr>
          <w:rFonts w:ascii="Arial" w:hAnsi="Arial" w:cs="Arial"/>
          <w:sz w:val="20"/>
          <w:szCs w:val="20"/>
        </w:rPr>
        <w:t>discuss our response in more detail.</w:t>
      </w:r>
    </w:p>
    <w:p w14:paraId="1DD9694E" w14:textId="77777777" w:rsidR="00DB3717" w:rsidRDefault="00DB3717" w:rsidP="000A48D0">
      <w:pPr>
        <w:shd w:val="clear" w:color="auto" w:fill="FFFFFF"/>
        <w:spacing w:after="165"/>
        <w:jc w:val="both"/>
        <w:rPr>
          <w:rFonts w:ascii="Arial" w:hAnsi="Arial" w:cs="Arial"/>
          <w:sz w:val="20"/>
          <w:szCs w:val="20"/>
        </w:rPr>
      </w:pPr>
    </w:p>
    <w:p w14:paraId="062BD25A" w14:textId="6B37D8CC" w:rsidR="00997EDA" w:rsidRDefault="007E60E8" w:rsidP="000A48D0">
      <w:pPr>
        <w:shd w:val="clear" w:color="auto" w:fill="FFFFFF"/>
        <w:spacing w:after="165"/>
        <w:jc w:val="both"/>
        <w:rPr>
          <w:rFonts w:ascii="Arial" w:hAnsi="Arial" w:cs="Arial"/>
          <w:sz w:val="20"/>
          <w:szCs w:val="20"/>
        </w:rPr>
      </w:pPr>
      <w:r w:rsidRPr="000A48D0">
        <w:rPr>
          <w:rFonts w:ascii="Arial" w:hAnsi="Arial" w:cs="Arial"/>
          <w:sz w:val="20"/>
          <w:szCs w:val="20"/>
        </w:rPr>
        <w:t xml:space="preserve">Yours sincerely, </w:t>
      </w:r>
    </w:p>
    <w:p w14:paraId="5884EF56" w14:textId="77777777" w:rsidR="00DB3717" w:rsidRPr="000A48D0" w:rsidRDefault="00DB3717" w:rsidP="000A48D0">
      <w:pPr>
        <w:shd w:val="clear" w:color="auto" w:fill="FFFFFF"/>
        <w:spacing w:after="165"/>
        <w:jc w:val="both"/>
        <w:rPr>
          <w:rFonts w:ascii="Arial" w:hAnsi="Arial" w:cs="Arial"/>
          <w:sz w:val="20"/>
          <w:szCs w:val="20"/>
        </w:rPr>
      </w:pPr>
    </w:p>
    <w:p w14:paraId="1692DC2F" w14:textId="7D06A35B" w:rsidR="00F30DB2" w:rsidRPr="000A48D0" w:rsidRDefault="00434EDB" w:rsidP="000A48D0">
      <w:pPr>
        <w:shd w:val="clear" w:color="auto" w:fill="FFFFFF"/>
        <w:spacing w:after="165"/>
        <w:jc w:val="both"/>
        <w:rPr>
          <w:rFonts w:ascii="Arial" w:hAnsi="Arial" w:cs="Arial"/>
          <w:noProof/>
          <w:sz w:val="20"/>
          <w:szCs w:val="20"/>
        </w:rPr>
      </w:pPr>
      <w:r w:rsidRPr="000A48D0">
        <w:rPr>
          <w:rFonts w:ascii="Arial" w:hAnsi="Arial" w:cs="Arial"/>
          <w:noProof/>
          <w:sz w:val="20"/>
          <w:szCs w:val="20"/>
        </w:rPr>
        <w:drawing>
          <wp:inline distT="0" distB="0" distL="0" distR="0" wp14:anchorId="02B5D77E" wp14:editId="75F16DCF">
            <wp:extent cx="2067127" cy="676073"/>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12">
                      <a:extLst>
                        <a:ext uri="{28A0092B-C50C-407E-A947-70E740481C1C}">
                          <a14:useLocalDpi xmlns:a14="http://schemas.microsoft.com/office/drawing/2010/main" val="0"/>
                        </a:ext>
                      </a:extLst>
                    </a:blip>
                    <a:srcRect r="9350" b="18101"/>
                    <a:stretch/>
                  </pic:blipFill>
                  <pic:spPr bwMode="auto">
                    <a:xfrm>
                      <a:off x="0" y="0"/>
                      <a:ext cx="2074855" cy="678600"/>
                    </a:xfrm>
                    <a:prstGeom prst="rect">
                      <a:avLst/>
                    </a:prstGeom>
                    <a:ln>
                      <a:noFill/>
                    </a:ln>
                    <a:extLst>
                      <a:ext uri="{53640926-AAD7-44D8-BBD7-CCE9431645EC}">
                        <a14:shadowObscured xmlns:a14="http://schemas.microsoft.com/office/drawing/2010/main"/>
                      </a:ext>
                    </a:extLst>
                  </pic:spPr>
                </pic:pic>
              </a:graphicData>
            </a:graphic>
          </wp:inline>
        </w:drawing>
      </w:r>
    </w:p>
    <w:p w14:paraId="684B8879" w14:textId="11BFF3CE" w:rsidR="00997EDA" w:rsidRPr="000A48D0" w:rsidRDefault="00711DEA" w:rsidP="00460116">
      <w:pPr>
        <w:shd w:val="clear" w:color="auto" w:fill="FFFFFF"/>
        <w:spacing w:after="0"/>
        <w:jc w:val="both"/>
        <w:rPr>
          <w:rFonts w:ascii="Arial" w:hAnsi="Arial" w:cs="Arial"/>
          <w:sz w:val="20"/>
          <w:szCs w:val="20"/>
        </w:rPr>
      </w:pPr>
      <w:r w:rsidRPr="000A48D0">
        <w:rPr>
          <w:rFonts w:ascii="Arial" w:hAnsi="Arial" w:cs="Arial"/>
          <w:sz w:val="20"/>
          <w:szCs w:val="20"/>
        </w:rPr>
        <w:t>Angeles Sandoval</w:t>
      </w:r>
    </w:p>
    <w:p w14:paraId="3851E671" w14:textId="6FE37B73" w:rsidR="007E60E8" w:rsidRPr="000A48D0" w:rsidRDefault="00B6783E" w:rsidP="00460116">
      <w:pPr>
        <w:spacing w:after="0"/>
        <w:jc w:val="both"/>
        <w:rPr>
          <w:rFonts w:ascii="Arial" w:hAnsi="Arial" w:cs="Arial"/>
          <w:b/>
          <w:sz w:val="20"/>
          <w:szCs w:val="20"/>
        </w:rPr>
      </w:pPr>
      <w:r w:rsidRPr="000A48D0">
        <w:rPr>
          <w:rFonts w:ascii="Arial" w:hAnsi="Arial" w:cs="Arial"/>
          <w:b/>
          <w:sz w:val="20"/>
          <w:szCs w:val="20"/>
        </w:rPr>
        <w:t>Policy Manager</w:t>
      </w:r>
      <w:r w:rsidR="00906D40">
        <w:rPr>
          <w:rFonts w:ascii="Arial" w:hAnsi="Arial" w:cs="Arial"/>
          <w:b/>
          <w:sz w:val="20"/>
          <w:szCs w:val="20"/>
        </w:rPr>
        <w:t xml:space="preserve"> | Networks &amp; Markets</w:t>
      </w:r>
    </w:p>
    <w:p w14:paraId="574F1C96" w14:textId="47559976" w:rsidR="009D2996" w:rsidRPr="0054676B" w:rsidRDefault="007E60E8" w:rsidP="0054676B">
      <w:pPr>
        <w:jc w:val="both"/>
        <w:rPr>
          <w:rFonts w:ascii="Arial" w:hAnsi="Arial" w:cs="Arial"/>
          <w:sz w:val="20"/>
          <w:szCs w:val="20"/>
        </w:rPr>
      </w:pPr>
      <w:r w:rsidRPr="000A48D0">
        <w:rPr>
          <w:rFonts w:ascii="Arial" w:hAnsi="Arial" w:cs="Arial"/>
          <w:sz w:val="20"/>
          <w:szCs w:val="20"/>
        </w:rPr>
        <w:t xml:space="preserve">Scottish Renewables </w:t>
      </w:r>
    </w:p>
    <w:p w14:paraId="10BF7111" w14:textId="5E7FFC69" w:rsidR="00DB3717" w:rsidRDefault="00DB3717">
      <w:pPr>
        <w:rPr>
          <w:rFonts w:ascii="Arial" w:eastAsia="Times New Roman" w:hAnsi="Arial" w:cs="Arial"/>
          <w:b/>
          <w:bCs/>
          <w:sz w:val="20"/>
          <w:szCs w:val="20"/>
          <w:lang w:eastAsia="en-GB"/>
        </w:rPr>
      </w:pPr>
      <w:r>
        <w:rPr>
          <w:rFonts w:ascii="Arial" w:hAnsi="Arial" w:cs="Arial"/>
          <w:b/>
          <w:bCs/>
          <w:sz w:val="20"/>
          <w:szCs w:val="20"/>
        </w:rPr>
        <w:br w:type="page"/>
      </w:r>
    </w:p>
    <w:p w14:paraId="6F034340" w14:textId="77777777" w:rsidR="009D2996" w:rsidRPr="000A48D0" w:rsidRDefault="009D2996" w:rsidP="000A48D0">
      <w:pPr>
        <w:pStyle w:val="NormalWeb"/>
        <w:spacing w:before="0" w:beforeAutospacing="0" w:after="0" w:afterAutospacing="0" w:line="276" w:lineRule="auto"/>
        <w:jc w:val="both"/>
        <w:rPr>
          <w:rFonts w:ascii="Arial" w:hAnsi="Arial" w:cs="Arial"/>
          <w:b/>
          <w:bCs/>
          <w:sz w:val="20"/>
          <w:szCs w:val="20"/>
        </w:rPr>
      </w:pPr>
    </w:p>
    <w:p w14:paraId="0FFBB910" w14:textId="77777777" w:rsidR="006239E3" w:rsidRPr="00AE275E" w:rsidRDefault="006239E3" w:rsidP="00473DF5">
      <w:pPr>
        <w:pStyle w:val="NormalWeb"/>
        <w:spacing w:before="0" w:beforeAutospacing="0" w:after="0" w:afterAutospacing="0" w:line="276" w:lineRule="auto"/>
        <w:jc w:val="both"/>
        <w:rPr>
          <w:rFonts w:ascii="Arial" w:hAnsi="Arial" w:cs="Arial"/>
          <w:b/>
          <w:bCs/>
          <w:sz w:val="22"/>
          <w:szCs w:val="22"/>
        </w:rPr>
      </w:pPr>
    </w:p>
    <w:p w14:paraId="1801E461" w14:textId="4678727F" w:rsidR="006239E3" w:rsidRPr="00AE275E" w:rsidRDefault="006239E3" w:rsidP="006239E3">
      <w:pPr>
        <w:pStyle w:val="NormalWeb"/>
        <w:numPr>
          <w:ilvl w:val="0"/>
          <w:numId w:val="27"/>
        </w:numPr>
        <w:spacing w:before="0" w:beforeAutospacing="0" w:after="0" w:afterAutospacing="0" w:line="276" w:lineRule="auto"/>
        <w:jc w:val="both"/>
        <w:rPr>
          <w:rFonts w:ascii="Arial" w:hAnsi="Arial" w:cs="Arial"/>
          <w:b/>
          <w:bCs/>
          <w:sz w:val="22"/>
          <w:szCs w:val="22"/>
        </w:rPr>
      </w:pPr>
      <w:r w:rsidRPr="00AE275E">
        <w:rPr>
          <w:rFonts w:ascii="Arial" w:hAnsi="Arial" w:cs="Arial"/>
          <w:b/>
          <w:bCs/>
          <w:sz w:val="22"/>
          <w:szCs w:val="22"/>
        </w:rPr>
        <w:t xml:space="preserve">The extent to which a broader review of </w:t>
      </w:r>
      <w:proofErr w:type="spellStart"/>
      <w:r w:rsidRPr="00AE275E">
        <w:rPr>
          <w:rFonts w:ascii="Arial" w:hAnsi="Arial" w:cs="Arial"/>
          <w:b/>
          <w:bCs/>
          <w:sz w:val="22"/>
          <w:szCs w:val="22"/>
        </w:rPr>
        <w:t>TNUoS</w:t>
      </w:r>
      <w:proofErr w:type="spellEnd"/>
      <w:r w:rsidRPr="00AE275E">
        <w:rPr>
          <w:rFonts w:ascii="Arial" w:hAnsi="Arial" w:cs="Arial"/>
          <w:b/>
          <w:bCs/>
          <w:sz w:val="22"/>
          <w:szCs w:val="22"/>
        </w:rPr>
        <w:t xml:space="preserve"> would be beneficial.</w:t>
      </w:r>
    </w:p>
    <w:p w14:paraId="58BF79EB" w14:textId="0456F508" w:rsidR="006239E3" w:rsidRDefault="006239E3" w:rsidP="00473DF5">
      <w:pPr>
        <w:pStyle w:val="NormalWeb"/>
        <w:spacing w:before="0" w:beforeAutospacing="0" w:after="0" w:afterAutospacing="0" w:line="276" w:lineRule="auto"/>
        <w:jc w:val="both"/>
        <w:rPr>
          <w:rFonts w:ascii="Arial" w:hAnsi="Arial" w:cs="Arial"/>
          <w:b/>
          <w:bCs/>
          <w:sz w:val="20"/>
          <w:szCs w:val="20"/>
        </w:rPr>
      </w:pPr>
    </w:p>
    <w:p w14:paraId="4234AE14" w14:textId="057E43FB" w:rsidR="00F27A5A" w:rsidRDefault="004054B0" w:rsidP="00473DF5">
      <w:pPr>
        <w:pStyle w:val="NormalWeb"/>
        <w:spacing w:before="0" w:beforeAutospacing="0" w:after="0" w:afterAutospacing="0" w:line="276" w:lineRule="auto"/>
        <w:jc w:val="both"/>
        <w:rPr>
          <w:rFonts w:ascii="Arial" w:hAnsi="Arial" w:cs="Arial"/>
          <w:sz w:val="20"/>
          <w:szCs w:val="20"/>
        </w:rPr>
      </w:pPr>
      <w:r w:rsidRPr="004054B0">
        <w:rPr>
          <w:rFonts w:ascii="Arial" w:hAnsi="Arial" w:cs="Arial"/>
          <w:sz w:val="20"/>
          <w:szCs w:val="20"/>
        </w:rPr>
        <w:t xml:space="preserve">Back in 1992, the charging system was designed to provide clear signals to the energy market to incentivise developers to build fossil fuel power stations close to demand. Today, as we move to a smart, decentralised and </w:t>
      </w:r>
      <w:r w:rsidR="00C909E4">
        <w:rPr>
          <w:rFonts w:ascii="Arial" w:hAnsi="Arial" w:cs="Arial"/>
          <w:sz w:val="20"/>
          <w:szCs w:val="20"/>
        </w:rPr>
        <w:t xml:space="preserve">renewables dominated </w:t>
      </w:r>
      <w:r w:rsidRPr="004054B0">
        <w:rPr>
          <w:rFonts w:ascii="Arial" w:hAnsi="Arial" w:cs="Arial"/>
          <w:sz w:val="20"/>
          <w:szCs w:val="20"/>
        </w:rPr>
        <w:t xml:space="preserve">energy system, </w:t>
      </w:r>
      <w:r w:rsidR="00C909E4">
        <w:rPr>
          <w:rFonts w:ascii="Arial" w:hAnsi="Arial" w:cs="Arial"/>
          <w:sz w:val="20"/>
          <w:szCs w:val="20"/>
        </w:rPr>
        <w:t xml:space="preserve">this charging design is no longer fit for purpose and </w:t>
      </w:r>
      <w:r w:rsidRPr="004054B0">
        <w:rPr>
          <w:rFonts w:ascii="Arial" w:hAnsi="Arial" w:cs="Arial"/>
          <w:sz w:val="20"/>
          <w:szCs w:val="20"/>
        </w:rPr>
        <w:t>a</w:t>
      </w:r>
      <w:r w:rsidR="00C909E4">
        <w:rPr>
          <w:rFonts w:ascii="Arial" w:hAnsi="Arial" w:cs="Arial"/>
          <w:sz w:val="20"/>
          <w:szCs w:val="20"/>
        </w:rPr>
        <w:t>n</w:t>
      </w:r>
      <w:r w:rsidRPr="004054B0">
        <w:rPr>
          <w:rFonts w:ascii="Arial" w:hAnsi="Arial" w:cs="Arial"/>
          <w:sz w:val="20"/>
          <w:szCs w:val="20"/>
        </w:rPr>
        <w:t xml:space="preserve"> </w:t>
      </w:r>
      <w:r w:rsidR="00C909E4">
        <w:rPr>
          <w:rFonts w:ascii="Arial" w:hAnsi="Arial" w:cs="Arial"/>
          <w:sz w:val="20"/>
          <w:szCs w:val="20"/>
        </w:rPr>
        <w:t>updated</w:t>
      </w:r>
      <w:r w:rsidRPr="004054B0">
        <w:rPr>
          <w:rFonts w:ascii="Arial" w:hAnsi="Arial" w:cs="Arial"/>
          <w:sz w:val="20"/>
          <w:szCs w:val="20"/>
        </w:rPr>
        <w:t xml:space="preserve"> system which balances the strengths of different parts of the UK is needed.</w:t>
      </w:r>
      <w:r w:rsidR="00D127BD">
        <w:rPr>
          <w:rFonts w:ascii="Arial" w:hAnsi="Arial" w:cs="Arial"/>
          <w:sz w:val="20"/>
          <w:szCs w:val="20"/>
        </w:rPr>
        <w:t xml:space="preserve"> </w:t>
      </w:r>
    </w:p>
    <w:p w14:paraId="798B2B1E" w14:textId="77777777" w:rsidR="00F27A5A" w:rsidRDefault="00F27A5A" w:rsidP="00473DF5">
      <w:pPr>
        <w:pStyle w:val="NormalWeb"/>
        <w:spacing w:before="0" w:beforeAutospacing="0" w:after="0" w:afterAutospacing="0" w:line="276" w:lineRule="auto"/>
        <w:jc w:val="both"/>
        <w:rPr>
          <w:rFonts w:ascii="Arial" w:hAnsi="Arial" w:cs="Arial"/>
          <w:sz w:val="20"/>
          <w:szCs w:val="20"/>
        </w:rPr>
      </w:pPr>
    </w:p>
    <w:p w14:paraId="76DEA1FB" w14:textId="4A0B0D85" w:rsidR="00D51AB7" w:rsidRDefault="00F27A5A" w:rsidP="00473DF5">
      <w:pPr>
        <w:pStyle w:val="NormalWeb"/>
        <w:spacing w:before="0" w:beforeAutospacing="0" w:after="0" w:afterAutospacing="0" w:line="276" w:lineRule="auto"/>
        <w:jc w:val="both"/>
        <w:rPr>
          <w:rFonts w:ascii="Arial" w:hAnsi="Arial" w:cs="Arial"/>
          <w:sz w:val="20"/>
          <w:szCs w:val="20"/>
        </w:rPr>
      </w:pPr>
      <w:bookmarkStart w:id="1" w:name="_Hlk85621103"/>
      <w:r>
        <w:rPr>
          <w:rFonts w:ascii="Arial" w:hAnsi="Arial" w:cs="Arial"/>
          <w:sz w:val="20"/>
          <w:szCs w:val="20"/>
        </w:rPr>
        <w:t xml:space="preserve">We believe that </w:t>
      </w:r>
      <w:proofErr w:type="spellStart"/>
      <w:r>
        <w:rPr>
          <w:rFonts w:ascii="Arial" w:hAnsi="Arial" w:cs="Arial"/>
          <w:sz w:val="20"/>
          <w:szCs w:val="20"/>
        </w:rPr>
        <w:t>TNUoS</w:t>
      </w:r>
      <w:proofErr w:type="spellEnd"/>
      <w:r>
        <w:rPr>
          <w:rFonts w:ascii="Arial" w:hAnsi="Arial" w:cs="Arial"/>
          <w:sz w:val="20"/>
          <w:szCs w:val="20"/>
        </w:rPr>
        <w:t xml:space="preserve"> requires an extensive reform </w:t>
      </w:r>
      <w:r w:rsidR="00D4450B">
        <w:rPr>
          <w:rFonts w:ascii="Arial" w:hAnsi="Arial" w:cs="Arial"/>
          <w:sz w:val="20"/>
          <w:szCs w:val="20"/>
        </w:rPr>
        <w:t xml:space="preserve">that should </w:t>
      </w:r>
      <w:r w:rsidR="0061032F">
        <w:rPr>
          <w:rFonts w:ascii="Arial" w:hAnsi="Arial" w:cs="Arial"/>
          <w:sz w:val="20"/>
          <w:szCs w:val="20"/>
        </w:rPr>
        <w:t>meet the following criteria</w:t>
      </w:r>
      <w:r>
        <w:rPr>
          <w:rFonts w:ascii="Arial" w:hAnsi="Arial" w:cs="Arial"/>
          <w:sz w:val="20"/>
          <w:szCs w:val="20"/>
        </w:rPr>
        <w:t>: Net zero alignment, stability &amp; predictability, cost-</w:t>
      </w:r>
      <w:proofErr w:type="gramStart"/>
      <w:r>
        <w:rPr>
          <w:rFonts w:ascii="Arial" w:hAnsi="Arial" w:cs="Arial"/>
          <w:sz w:val="20"/>
          <w:szCs w:val="20"/>
        </w:rPr>
        <w:t>reflectivity</w:t>
      </w:r>
      <w:proofErr w:type="gramEnd"/>
      <w:r>
        <w:rPr>
          <w:rFonts w:ascii="Arial" w:hAnsi="Arial" w:cs="Arial"/>
          <w:sz w:val="20"/>
          <w:szCs w:val="20"/>
        </w:rPr>
        <w:t xml:space="preserve"> and recognition of geographic diversity of renewables.</w:t>
      </w:r>
    </w:p>
    <w:bookmarkEnd w:id="1"/>
    <w:p w14:paraId="4BF6156F" w14:textId="77777777" w:rsidR="00F27A5A" w:rsidRDefault="00F27A5A" w:rsidP="00473DF5">
      <w:pPr>
        <w:pStyle w:val="NormalWeb"/>
        <w:spacing w:before="0" w:beforeAutospacing="0" w:after="0" w:afterAutospacing="0" w:line="276" w:lineRule="auto"/>
        <w:jc w:val="both"/>
        <w:rPr>
          <w:rFonts w:ascii="Arial" w:hAnsi="Arial" w:cs="Arial"/>
          <w:b/>
          <w:bCs/>
          <w:sz w:val="20"/>
          <w:szCs w:val="20"/>
        </w:rPr>
      </w:pPr>
    </w:p>
    <w:p w14:paraId="742004B8" w14:textId="171EAA5B" w:rsidR="006239E3" w:rsidRDefault="002875B0" w:rsidP="00AE275E">
      <w:pPr>
        <w:pStyle w:val="NormalWeb"/>
        <w:numPr>
          <w:ilvl w:val="1"/>
          <w:numId w:val="27"/>
        </w:numPr>
        <w:spacing w:before="0" w:beforeAutospacing="0" w:after="0" w:afterAutospacing="0" w:line="276" w:lineRule="auto"/>
        <w:jc w:val="both"/>
        <w:rPr>
          <w:rFonts w:ascii="Arial" w:hAnsi="Arial" w:cs="Arial"/>
          <w:b/>
          <w:bCs/>
          <w:sz w:val="20"/>
          <w:szCs w:val="20"/>
        </w:rPr>
      </w:pPr>
      <w:r>
        <w:rPr>
          <w:rFonts w:ascii="Arial" w:hAnsi="Arial" w:cs="Arial"/>
          <w:b/>
          <w:bCs/>
          <w:sz w:val="20"/>
          <w:szCs w:val="20"/>
        </w:rPr>
        <w:t>Net zero</w:t>
      </w:r>
      <w:r w:rsidR="004054B0">
        <w:rPr>
          <w:rFonts w:ascii="Arial" w:hAnsi="Arial" w:cs="Arial"/>
          <w:b/>
          <w:bCs/>
          <w:sz w:val="20"/>
          <w:szCs w:val="20"/>
        </w:rPr>
        <w:t xml:space="preserve"> alignment </w:t>
      </w:r>
    </w:p>
    <w:p w14:paraId="5AAC1207" w14:textId="77777777" w:rsidR="00354C21" w:rsidRDefault="00354C21" w:rsidP="00354C21">
      <w:pPr>
        <w:pStyle w:val="NormalWeb"/>
        <w:spacing w:before="0" w:beforeAutospacing="0" w:after="0" w:afterAutospacing="0" w:line="276" w:lineRule="auto"/>
        <w:ind w:left="720"/>
        <w:jc w:val="both"/>
        <w:rPr>
          <w:rFonts w:ascii="Arial" w:hAnsi="Arial" w:cs="Arial"/>
          <w:b/>
          <w:bCs/>
          <w:sz w:val="20"/>
          <w:szCs w:val="20"/>
        </w:rPr>
      </w:pPr>
    </w:p>
    <w:p w14:paraId="3A8070C5" w14:textId="3B72EE70" w:rsidR="00D4450B" w:rsidRPr="000A48D0" w:rsidRDefault="00D4450B" w:rsidP="00D4450B">
      <w:pPr>
        <w:pStyle w:val="NormalWeb"/>
        <w:spacing w:before="0" w:beforeAutospacing="0" w:after="0" w:afterAutospacing="0" w:line="276" w:lineRule="auto"/>
        <w:jc w:val="both"/>
        <w:rPr>
          <w:rFonts w:ascii="Arial" w:hAnsi="Arial" w:cs="Arial"/>
          <w:color w:val="000000"/>
          <w:sz w:val="20"/>
          <w:szCs w:val="20"/>
        </w:rPr>
      </w:pPr>
      <w:r w:rsidRPr="000A48D0">
        <w:rPr>
          <w:rFonts w:ascii="Arial" w:hAnsi="Arial" w:cs="Arial"/>
          <w:sz w:val="20"/>
          <w:szCs w:val="20"/>
        </w:rPr>
        <w:t xml:space="preserve">The current </w:t>
      </w:r>
      <w:proofErr w:type="spellStart"/>
      <w:r w:rsidRPr="000A48D0">
        <w:rPr>
          <w:rFonts w:ascii="Arial" w:hAnsi="Arial" w:cs="Arial"/>
          <w:sz w:val="20"/>
          <w:szCs w:val="20"/>
        </w:rPr>
        <w:t>TNUoS</w:t>
      </w:r>
      <w:proofErr w:type="spellEnd"/>
      <w:r w:rsidRPr="000A48D0">
        <w:rPr>
          <w:rFonts w:ascii="Arial" w:hAnsi="Arial" w:cs="Arial"/>
          <w:sz w:val="20"/>
          <w:szCs w:val="20"/>
        </w:rPr>
        <w:t xml:space="preserve"> regime is not fit for purpose </w:t>
      </w:r>
      <w:r w:rsidRPr="000A48D0">
        <w:rPr>
          <w:rFonts w:ascii="Arial" w:hAnsi="Arial" w:cs="Arial"/>
          <w:color w:val="000000"/>
          <w:sz w:val="20"/>
          <w:szCs w:val="20"/>
        </w:rPr>
        <w:t>to meet either the Scottish Government or UK Government’s net zero climate targets</w:t>
      </w:r>
      <w:r>
        <w:rPr>
          <w:rFonts w:ascii="Arial" w:hAnsi="Arial" w:cs="Arial"/>
          <w:color w:val="000000"/>
          <w:sz w:val="20"/>
          <w:szCs w:val="20"/>
        </w:rPr>
        <w:t xml:space="preserve">. This </w:t>
      </w:r>
      <w:r w:rsidR="00B61B19">
        <w:rPr>
          <w:rFonts w:ascii="Arial" w:hAnsi="Arial" w:cs="Arial"/>
          <w:color w:val="000000"/>
          <w:sz w:val="20"/>
          <w:szCs w:val="20"/>
        </w:rPr>
        <w:t xml:space="preserve">regime </w:t>
      </w:r>
      <w:r>
        <w:rPr>
          <w:rFonts w:ascii="Arial" w:hAnsi="Arial" w:cs="Arial"/>
          <w:color w:val="000000"/>
          <w:sz w:val="20"/>
          <w:szCs w:val="20"/>
        </w:rPr>
        <w:t xml:space="preserve">is leading </w:t>
      </w:r>
      <w:r w:rsidRPr="000A48D0">
        <w:rPr>
          <w:rFonts w:ascii="Arial" w:hAnsi="Arial" w:cs="Arial"/>
          <w:color w:val="000000"/>
          <w:sz w:val="20"/>
          <w:szCs w:val="20"/>
        </w:rPr>
        <w:t>to disproportiona</w:t>
      </w:r>
      <w:r w:rsidR="00B61B19">
        <w:rPr>
          <w:rFonts w:ascii="Arial" w:hAnsi="Arial" w:cs="Arial"/>
          <w:color w:val="000000"/>
          <w:sz w:val="20"/>
          <w:szCs w:val="20"/>
        </w:rPr>
        <w:t>te</w:t>
      </w:r>
      <w:r w:rsidRPr="000A48D0">
        <w:rPr>
          <w:rFonts w:ascii="Arial" w:hAnsi="Arial" w:cs="Arial"/>
          <w:color w:val="000000"/>
          <w:sz w:val="20"/>
          <w:szCs w:val="20"/>
        </w:rPr>
        <w:t xml:space="preserve"> charges by location </w:t>
      </w:r>
      <w:r>
        <w:rPr>
          <w:rFonts w:ascii="Arial" w:hAnsi="Arial" w:cs="Arial"/>
          <w:color w:val="000000"/>
          <w:sz w:val="20"/>
          <w:szCs w:val="20"/>
        </w:rPr>
        <w:t xml:space="preserve">that </w:t>
      </w:r>
      <w:r w:rsidR="00C909E4">
        <w:rPr>
          <w:rFonts w:ascii="Arial" w:hAnsi="Arial" w:cs="Arial"/>
          <w:color w:val="000000"/>
          <w:sz w:val="20"/>
          <w:szCs w:val="20"/>
        </w:rPr>
        <w:t>are</w:t>
      </w:r>
      <w:r>
        <w:rPr>
          <w:rFonts w:ascii="Arial" w:hAnsi="Arial" w:cs="Arial"/>
          <w:color w:val="000000"/>
          <w:sz w:val="20"/>
          <w:szCs w:val="20"/>
        </w:rPr>
        <w:t xml:space="preserve"> damaging the deployment of </w:t>
      </w:r>
      <w:r w:rsidR="00C909E4">
        <w:rPr>
          <w:rFonts w:ascii="Arial" w:hAnsi="Arial" w:cs="Arial"/>
          <w:color w:val="000000"/>
          <w:sz w:val="20"/>
          <w:szCs w:val="20"/>
        </w:rPr>
        <w:t xml:space="preserve">the </w:t>
      </w:r>
      <w:r>
        <w:rPr>
          <w:rFonts w:ascii="Arial" w:hAnsi="Arial" w:cs="Arial"/>
          <w:color w:val="000000"/>
          <w:sz w:val="20"/>
          <w:szCs w:val="20"/>
        </w:rPr>
        <w:t>renewable technologies</w:t>
      </w:r>
      <w:r w:rsidR="00C909E4">
        <w:rPr>
          <w:rFonts w:ascii="Arial" w:hAnsi="Arial" w:cs="Arial"/>
          <w:color w:val="000000"/>
          <w:sz w:val="20"/>
          <w:szCs w:val="20"/>
        </w:rPr>
        <w:t xml:space="preserve"> needed to achieve net zero</w:t>
      </w:r>
      <w:r>
        <w:rPr>
          <w:rFonts w:ascii="Arial" w:hAnsi="Arial" w:cs="Arial"/>
          <w:color w:val="000000"/>
          <w:sz w:val="20"/>
          <w:szCs w:val="20"/>
        </w:rPr>
        <w:t>.</w:t>
      </w:r>
      <w:r w:rsidR="00316F2E" w:rsidRPr="00316F2E">
        <w:rPr>
          <w:rFonts w:ascii="Arial" w:hAnsi="Arial" w:cs="Arial"/>
          <w:sz w:val="20"/>
          <w:szCs w:val="20"/>
        </w:rPr>
        <w:t xml:space="preserve"> </w:t>
      </w:r>
      <w:r w:rsidR="00316F2E">
        <w:rPr>
          <w:rFonts w:ascii="Arial" w:hAnsi="Arial" w:cs="Arial"/>
          <w:sz w:val="20"/>
          <w:szCs w:val="20"/>
        </w:rPr>
        <w:t>We believe that there</w:t>
      </w:r>
      <w:r w:rsidR="00316F2E" w:rsidRPr="000A48D0">
        <w:rPr>
          <w:rFonts w:ascii="Arial" w:hAnsi="Arial" w:cs="Arial"/>
          <w:sz w:val="20"/>
          <w:szCs w:val="20"/>
        </w:rPr>
        <w:t xml:space="preserve"> is a strong case to review the transmission charging methodology to ensure that the development of renewables is not discouraged where resources are most abundant. The need for review is even more pronounced given the ongoing review and reform of the offshore transmission arrangements</w:t>
      </w:r>
      <w:r w:rsidR="007A77CD">
        <w:rPr>
          <w:rFonts w:ascii="Arial" w:hAnsi="Arial" w:cs="Arial"/>
          <w:sz w:val="20"/>
          <w:szCs w:val="20"/>
        </w:rPr>
        <w:t>.</w:t>
      </w:r>
    </w:p>
    <w:p w14:paraId="6E115033" w14:textId="2D7A0BF1" w:rsidR="00316F2E" w:rsidRDefault="00D4450B" w:rsidP="00D4450B">
      <w:pPr>
        <w:pStyle w:val="NormalWeb"/>
        <w:spacing w:after="0" w:line="276" w:lineRule="auto"/>
        <w:jc w:val="both"/>
        <w:rPr>
          <w:rFonts w:ascii="Arial" w:hAnsi="Arial" w:cs="Arial"/>
          <w:sz w:val="20"/>
          <w:szCs w:val="20"/>
        </w:rPr>
      </w:pPr>
      <w:r w:rsidRPr="000A48D0">
        <w:rPr>
          <w:rFonts w:ascii="Arial" w:hAnsi="Arial" w:cs="Arial"/>
          <w:sz w:val="20"/>
          <w:szCs w:val="20"/>
        </w:rPr>
        <w:t xml:space="preserve">To achieve </w:t>
      </w:r>
      <w:r w:rsidR="00460116">
        <w:rPr>
          <w:rFonts w:ascii="Arial" w:hAnsi="Arial" w:cs="Arial"/>
          <w:sz w:val="20"/>
          <w:szCs w:val="20"/>
        </w:rPr>
        <w:t>the UK</w:t>
      </w:r>
      <w:r w:rsidRPr="000A48D0">
        <w:rPr>
          <w:rFonts w:ascii="Arial" w:hAnsi="Arial" w:cs="Arial"/>
          <w:sz w:val="20"/>
          <w:szCs w:val="20"/>
        </w:rPr>
        <w:t xml:space="preserve"> net</w:t>
      </w:r>
      <w:r>
        <w:rPr>
          <w:rFonts w:ascii="Arial" w:hAnsi="Arial" w:cs="Arial"/>
          <w:sz w:val="20"/>
          <w:szCs w:val="20"/>
        </w:rPr>
        <w:t xml:space="preserve"> </w:t>
      </w:r>
      <w:r w:rsidRPr="000A48D0">
        <w:rPr>
          <w:rFonts w:ascii="Arial" w:hAnsi="Arial" w:cs="Arial"/>
          <w:sz w:val="20"/>
          <w:szCs w:val="20"/>
        </w:rPr>
        <w:t xml:space="preserve">zero targets, we need a steep increase in renewable energy installation by 2050. According to </w:t>
      </w:r>
      <w:r w:rsidR="00316F2E" w:rsidRPr="000A48D0">
        <w:rPr>
          <w:rFonts w:ascii="Arial" w:hAnsi="Arial" w:cs="Arial"/>
          <w:sz w:val="20"/>
          <w:szCs w:val="20"/>
        </w:rPr>
        <w:t xml:space="preserve">the </w:t>
      </w:r>
      <w:r w:rsidR="00316F2E">
        <w:rPr>
          <w:rFonts w:ascii="Arial" w:hAnsi="Arial" w:cs="Arial"/>
          <w:sz w:val="20"/>
          <w:szCs w:val="20"/>
        </w:rPr>
        <w:t xml:space="preserve">Climate Change Committee (CCC) in the </w:t>
      </w:r>
      <w:r w:rsidRPr="000A48D0">
        <w:rPr>
          <w:rFonts w:ascii="Arial" w:hAnsi="Arial" w:cs="Arial"/>
          <w:sz w:val="20"/>
          <w:szCs w:val="20"/>
        </w:rPr>
        <w:t>Sixth Carbon Budget</w:t>
      </w:r>
      <w:r>
        <w:rPr>
          <w:rStyle w:val="FootnoteReference"/>
          <w:rFonts w:ascii="Arial" w:hAnsi="Arial" w:cs="Arial"/>
          <w:sz w:val="20"/>
          <w:szCs w:val="20"/>
        </w:rPr>
        <w:footnoteReference w:id="1"/>
      </w:r>
      <w:r w:rsidRPr="000A48D0">
        <w:rPr>
          <w:rFonts w:ascii="Arial" w:hAnsi="Arial" w:cs="Arial"/>
          <w:sz w:val="20"/>
          <w:szCs w:val="20"/>
        </w:rPr>
        <w:t>, renewable deployment by 2050 should be between 95</w:t>
      </w:r>
      <w:r>
        <w:rPr>
          <w:rFonts w:ascii="Arial" w:hAnsi="Arial" w:cs="Arial"/>
          <w:sz w:val="20"/>
          <w:szCs w:val="20"/>
        </w:rPr>
        <w:t>GW</w:t>
      </w:r>
      <w:r w:rsidRPr="000A48D0">
        <w:rPr>
          <w:rFonts w:ascii="Arial" w:hAnsi="Arial" w:cs="Arial"/>
          <w:sz w:val="20"/>
          <w:szCs w:val="20"/>
        </w:rPr>
        <w:t xml:space="preserve"> and 125GW </w:t>
      </w:r>
      <w:r w:rsidR="00316F2E">
        <w:rPr>
          <w:rFonts w:ascii="Arial" w:hAnsi="Arial" w:cs="Arial"/>
          <w:sz w:val="20"/>
          <w:szCs w:val="20"/>
        </w:rPr>
        <w:t>for</w:t>
      </w:r>
      <w:r w:rsidRPr="000A48D0">
        <w:rPr>
          <w:rFonts w:ascii="Arial" w:hAnsi="Arial" w:cs="Arial"/>
          <w:sz w:val="20"/>
          <w:szCs w:val="20"/>
        </w:rPr>
        <w:t xml:space="preserve"> offshore wind, between 75</w:t>
      </w:r>
      <w:r>
        <w:rPr>
          <w:rFonts w:ascii="Arial" w:hAnsi="Arial" w:cs="Arial"/>
          <w:sz w:val="20"/>
          <w:szCs w:val="20"/>
        </w:rPr>
        <w:t>GW</w:t>
      </w:r>
      <w:r w:rsidRPr="000A48D0">
        <w:rPr>
          <w:rFonts w:ascii="Arial" w:hAnsi="Arial" w:cs="Arial"/>
          <w:sz w:val="20"/>
          <w:szCs w:val="20"/>
        </w:rPr>
        <w:t xml:space="preserve"> and 85GW </w:t>
      </w:r>
      <w:r w:rsidR="00316F2E">
        <w:rPr>
          <w:rFonts w:ascii="Arial" w:hAnsi="Arial" w:cs="Arial"/>
          <w:sz w:val="20"/>
          <w:szCs w:val="20"/>
        </w:rPr>
        <w:t>for</w:t>
      </w:r>
      <w:r w:rsidRPr="000A48D0">
        <w:rPr>
          <w:rFonts w:ascii="Arial" w:hAnsi="Arial" w:cs="Arial"/>
          <w:sz w:val="20"/>
          <w:szCs w:val="20"/>
        </w:rPr>
        <w:t xml:space="preserve"> solar PV, and between 30</w:t>
      </w:r>
      <w:r>
        <w:rPr>
          <w:rFonts w:ascii="Arial" w:hAnsi="Arial" w:cs="Arial"/>
          <w:sz w:val="20"/>
          <w:szCs w:val="20"/>
        </w:rPr>
        <w:t>GW</w:t>
      </w:r>
      <w:r w:rsidRPr="000A48D0">
        <w:rPr>
          <w:rFonts w:ascii="Arial" w:hAnsi="Arial" w:cs="Arial"/>
          <w:sz w:val="20"/>
          <w:szCs w:val="20"/>
        </w:rPr>
        <w:t xml:space="preserve"> and 35GW </w:t>
      </w:r>
      <w:r w:rsidR="00316F2E">
        <w:rPr>
          <w:rFonts w:ascii="Arial" w:hAnsi="Arial" w:cs="Arial"/>
          <w:sz w:val="20"/>
          <w:szCs w:val="20"/>
        </w:rPr>
        <w:t>for</w:t>
      </w:r>
      <w:r w:rsidRPr="000A48D0">
        <w:rPr>
          <w:rFonts w:ascii="Arial" w:hAnsi="Arial" w:cs="Arial"/>
          <w:sz w:val="20"/>
          <w:szCs w:val="20"/>
        </w:rPr>
        <w:t xml:space="preserve"> onshore wind. </w:t>
      </w:r>
      <w:r w:rsidR="00316F2E">
        <w:rPr>
          <w:rFonts w:ascii="Arial" w:hAnsi="Arial" w:cs="Arial"/>
          <w:sz w:val="20"/>
          <w:szCs w:val="20"/>
        </w:rPr>
        <w:t xml:space="preserve">This is </w:t>
      </w:r>
      <w:r w:rsidR="00B013C4">
        <w:rPr>
          <w:rFonts w:ascii="Arial" w:hAnsi="Arial" w:cs="Arial"/>
          <w:sz w:val="20"/>
          <w:szCs w:val="20"/>
        </w:rPr>
        <w:t xml:space="preserve">a dramatic increase </w:t>
      </w:r>
      <w:r w:rsidR="00294C5E">
        <w:rPr>
          <w:rFonts w:ascii="Arial" w:hAnsi="Arial" w:cs="Arial"/>
          <w:sz w:val="20"/>
          <w:szCs w:val="20"/>
        </w:rPr>
        <w:t>i</w:t>
      </w:r>
      <w:r w:rsidR="00B013C4">
        <w:rPr>
          <w:rFonts w:ascii="Arial" w:hAnsi="Arial" w:cs="Arial"/>
          <w:sz w:val="20"/>
          <w:szCs w:val="20"/>
        </w:rPr>
        <w:t>n renewable</w:t>
      </w:r>
      <w:r w:rsidR="00316F2E">
        <w:rPr>
          <w:rFonts w:ascii="Arial" w:hAnsi="Arial" w:cs="Arial"/>
          <w:sz w:val="20"/>
          <w:szCs w:val="20"/>
        </w:rPr>
        <w:t xml:space="preserve"> </w:t>
      </w:r>
      <w:r w:rsidR="00B013C4">
        <w:rPr>
          <w:rFonts w:ascii="Arial" w:hAnsi="Arial" w:cs="Arial"/>
          <w:sz w:val="20"/>
          <w:szCs w:val="20"/>
        </w:rPr>
        <w:t xml:space="preserve">deployment; therefore, we would expect that regulation </w:t>
      </w:r>
      <w:r w:rsidR="00B013C4" w:rsidRPr="000A48D0">
        <w:rPr>
          <w:rFonts w:ascii="Arial" w:hAnsi="Arial" w:cs="Arial"/>
          <w:sz w:val="20"/>
          <w:szCs w:val="20"/>
        </w:rPr>
        <w:t>move</w:t>
      </w:r>
      <w:r w:rsidR="00294C5E">
        <w:rPr>
          <w:rFonts w:ascii="Arial" w:hAnsi="Arial" w:cs="Arial"/>
          <w:sz w:val="20"/>
          <w:szCs w:val="20"/>
        </w:rPr>
        <w:t>s</w:t>
      </w:r>
      <w:r w:rsidR="00B013C4" w:rsidRPr="000A48D0">
        <w:rPr>
          <w:rFonts w:ascii="Arial" w:hAnsi="Arial" w:cs="Arial"/>
          <w:sz w:val="20"/>
          <w:szCs w:val="20"/>
        </w:rPr>
        <w:t xml:space="preserve"> forward at pace</w:t>
      </w:r>
      <w:r w:rsidR="00B013C4">
        <w:rPr>
          <w:rFonts w:ascii="Arial" w:hAnsi="Arial" w:cs="Arial"/>
          <w:sz w:val="20"/>
          <w:szCs w:val="20"/>
        </w:rPr>
        <w:t xml:space="preserve"> to facilitate the deployment of renewables across the whole UK and should not constrain this in any way.</w:t>
      </w:r>
    </w:p>
    <w:p w14:paraId="65F0185F" w14:textId="4E37610A" w:rsidR="00316F2E" w:rsidRDefault="00C267AA" w:rsidP="00D4450B">
      <w:pPr>
        <w:pStyle w:val="NormalWeb"/>
        <w:spacing w:after="0" w:line="276" w:lineRule="auto"/>
        <w:jc w:val="both"/>
        <w:rPr>
          <w:rFonts w:ascii="Arial" w:hAnsi="Arial" w:cs="Arial"/>
          <w:sz w:val="20"/>
          <w:szCs w:val="20"/>
        </w:rPr>
      </w:pPr>
      <w:proofErr w:type="spellStart"/>
      <w:r>
        <w:rPr>
          <w:rFonts w:ascii="Arial" w:hAnsi="Arial" w:cs="Arial"/>
          <w:sz w:val="20"/>
          <w:szCs w:val="20"/>
        </w:rPr>
        <w:t>TNUoS</w:t>
      </w:r>
      <w:proofErr w:type="spellEnd"/>
      <w:r>
        <w:rPr>
          <w:rFonts w:ascii="Arial" w:hAnsi="Arial" w:cs="Arial"/>
          <w:sz w:val="20"/>
          <w:szCs w:val="20"/>
        </w:rPr>
        <w:t xml:space="preserve"> is designed </w:t>
      </w:r>
      <w:r w:rsidR="00DE7F8B">
        <w:rPr>
          <w:rFonts w:ascii="Arial" w:hAnsi="Arial" w:cs="Arial"/>
          <w:sz w:val="20"/>
          <w:szCs w:val="20"/>
        </w:rPr>
        <w:t xml:space="preserve">to </w:t>
      </w:r>
      <w:r>
        <w:rPr>
          <w:rFonts w:ascii="Arial" w:hAnsi="Arial" w:cs="Arial"/>
          <w:sz w:val="20"/>
          <w:szCs w:val="20"/>
        </w:rPr>
        <w:t>encourage generation to be located close to demand</w:t>
      </w:r>
      <w:r w:rsidR="00DE7F8B">
        <w:rPr>
          <w:rFonts w:ascii="Arial" w:hAnsi="Arial" w:cs="Arial"/>
          <w:sz w:val="20"/>
          <w:szCs w:val="20"/>
        </w:rPr>
        <w:t>,</w:t>
      </w:r>
      <w:r>
        <w:rPr>
          <w:rFonts w:ascii="Arial" w:hAnsi="Arial" w:cs="Arial"/>
          <w:sz w:val="20"/>
          <w:szCs w:val="20"/>
        </w:rPr>
        <w:t xml:space="preserve"> </w:t>
      </w:r>
      <w:r w:rsidR="00DE7F8B">
        <w:rPr>
          <w:rFonts w:ascii="Arial" w:hAnsi="Arial" w:cs="Arial"/>
          <w:sz w:val="20"/>
          <w:szCs w:val="20"/>
        </w:rPr>
        <w:t>h</w:t>
      </w:r>
      <w:r>
        <w:rPr>
          <w:rFonts w:ascii="Arial" w:hAnsi="Arial" w:cs="Arial"/>
          <w:sz w:val="20"/>
          <w:szCs w:val="20"/>
        </w:rPr>
        <w:t xml:space="preserve">owever, to reach the level of renewable deployment required by 2050 we will need technologies to be located across the whole </w:t>
      </w:r>
      <w:r w:rsidR="00DE7F8B">
        <w:rPr>
          <w:rFonts w:ascii="Arial" w:hAnsi="Arial" w:cs="Arial"/>
          <w:sz w:val="20"/>
          <w:szCs w:val="20"/>
        </w:rPr>
        <w:t xml:space="preserve">of the </w:t>
      </w:r>
      <w:r>
        <w:rPr>
          <w:rFonts w:ascii="Arial" w:hAnsi="Arial" w:cs="Arial"/>
          <w:sz w:val="20"/>
          <w:szCs w:val="20"/>
        </w:rPr>
        <w:t>UK</w:t>
      </w:r>
      <w:r w:rsidR="00B61B19">
        <w:rPr>
          <w:rFonts w:ascii="Arial" w:hAnsi="Arial" w:cs="Arial"/>
          <w:sz w:val="20"/>
          <w:szCs w:val="20"/>
        </w:rPr>
        <w:t xml:space="preserve"> where the renewable resource is</w:t>
      </w:r>
      <w:r w:rsidR="00DE7F8B">
        <w:rPr>
          <w:rFonts w:ascii="Arial" w:hAnsi="Arial" w:cs="Arial"/>
          <w:sz w:val="20"/>
          <w:szCs w:val="20"/>
        </w:rPr>
        <w:t xml:space="preserve"> available</w:t>
      </w:r>
      <w:r>
        <w:rPr>
          <w:rFonts w:ascii="Arial" w:hAnsi="Arial" w:cs="Arial"/>
          <w:sz w:val="20"/>
          <w:szCs w:val="20"/>
        </w:rPr>
        <w:t xml:space="preserve">. </w:t>
      </w:r>
      <w:r w:rsidR="00C01D2C">
        <w:rPr>
          <w:rFonts w:ascii="Arial" w:hAnsi="Arial" w:cs="Arial"/>
          <w:sz w:val="20"/>
          <w:szCs w:val="20"/>
        </w:rPr>
        <w:t>The locational factor becomes more pronounced when we analyse this by technology.</w:t>
      </w:r>
      <w:r w:rsidR="00107BDC">
        <w:rPr>
          <w:rFonts w:ascii="Arial" w:hAnsi="Arial" w:cs="Arial"/>
          <w:sz w:val="20"/>
          <w:szCs w:val="20"/>
        </w:rPr>
        <w:t xml:space="preserve"> A</w:t>
      </w:r>
      <w:r w:rsidR="00C01D2C" w:rsidRPr="00C01D2C">
        <w:rPr>
          <w:rFonts w:ascii="Arial" w:hAnsi="Arial" w:cs="Arial"/>
          <w:sz w:val="20"/>
          <w:szCs w:val="20"/>
        </w:rPr>
        <w:t>ccording to the 2021 FES report</w:t>
      </w:r>
      <w:r w:rsidR="00C01D2C">
        <w:rPr>
          <w:rStyle w:val="FootnoteReference"/>
          <w:rFonts w:ascii="Arial" w:hAnsi="Arial" w:cs="Arial"/>
          <w:sz w:val="20"/>
          <w:szCs w:val="20"/>
        </w:rPr>
        <w:footnoteReference w:id="2"/>
      </w:r>
      <w:r w:rsidR="00C01D2C" w:rsidRPr="00C01D2C">
        <w:rPr>
          <w:rFonts w:ascii="Arial" w:hAnsi="Arial" w:cs="Arial"/>
          <w:sz w:val="20"/>
          <w:szCs w:val="20"/>
        </w:rPr>
        <w:t>, in the consumer transformation scenario</w:t>
      </w:r>
      <w:r w:rsidR="00C01D2C">
        <w:rPr>
          <w:rFonts w:ascii="Arial" w:hAnsi="Arial" w:cs="Arial"/>
          <w:sz w:val="20"/>
          <w:szCs w:val="20"/>
        </w:rPr>
        <w:t>,</w:t>
      </w:r>
      <w:r w:rsidR="00C01D2C" w:rsidRPr="00C01D2C">
        <w:rPr>
          <w:rFonts w:ascii="Arial" w:hAnsi="Arial" w:cs="Arial"/>
          <w:sz w:val="20"/>
          <w:szCs w:val="20"/>
        </w:rPr>
        <w:t xml:space="preserve"> we will need 44GW of onshore wind by 2050, which in terms of resource is mostly expected to be deployed in Scotland</w:t>
      </w:r>
      <w:r w:rsidR="00C01D2C">
        <w:rPr>
          <w:rFonts w:ascii="Arial" w:hAnsi="Arial" w:cs="Arial"/>
          <w:sz w:val="20"/>
          <w:szCs w:val="20"/>
        </w:rPr>
        <w:t xml:space="preserve">. However, current </w:t>
      </w:r>
      <w:proofErr w:type="spellStart"/>
      <w:r w:rsidR="00C01D2C">
        <w:rPr>
          <w:rFonts w:ascii="Arial" w:hAnsi="Arial" w:cs="Arial"/>
          <w:sz w:val="20"/>
          <w:szCs w:val="20"/>
        </w:rPr>
        <w:t>TNUoS</w:t>
      </w:r>
      <w:proofErr w:type="spellEnd"/>
      <w:r w:rsidR="00C01D2C">
        <w:rPr>
          <w:rFonts w:ascii="Arial" w:hAnsi="Arial" w:cs="Arial"/>
          <w:sz w:val="20"/>
          <w:szCs w:val="20"/>
        </w:rPr>
        <w:t xml:space="preserve"> charges are disproportionally large in Scotland</w:t>
      </w:r>
      <w:r w:rsidR="00294C5E">
        <w:rPr>
          <w:rFonts w:ascii="Arial" w:hAnsi="Arial" w:cs="Arial"/>
          <w:sz w:val="20"/>
          <w:szCs w:val="20"/>
        </w:rPr>
        <w:t>,</w:t>
      </w:r>
      <w:r w:rsidR="00107BDC">
        <w:rPr>
          <w:rFonts w:ascii="Arial" w:hAnsi="Arial" w:cs="Arial"/>
          <w:sz w:val="20"/>
          <w:szCs w:val="20"/>
        </w:rPr>
        <w:t xml:space="preserve"> which is </w:t>
      </w:r>
      <w:r w:rsidR="00460116">
        <w:rPr>
          <w:rFonts w:ascii="Arial" w:hAnsi="Arial" w:cs="Arial"/>
          <w:sz w:val="20"/>
          <w:szCs w:val="20"/>
        </w:rPr>
        <w:t xml:space="preserve">reducing </w:t>
      </w:r>
      <w:r w:rsidR="00107BDC">
        <w:rPr>
          <w:rFonts w:ascii="Arial" w:hAnsi="Arial" w:cs="Arial"/>
          <w:sz w:val="20"/>
          <w:szCs w:val="20"/>
        </w:rPr>
        <w:t xml:space="preserve">Scottish renewable deployment and our ability to </w:t>
      </w:r>
      <w:r w:rsidR="00830751">
        <w:rPr>
          <w:rFonts w:ascii="Arial" w:hAnsi="Arial" w:cs="Arial"/>
          <w:sz w:val="20"/>
          <w:szCs w:val="20"/>
        </w:rPr>
        <w:t>reach</w:t>
      </w:r>
      <w:r w:rsidR="00107BDC">
        <w:rPr>
          <w:rFonts w:ascii="Arial" w:hAnsi="Arial" w:cs="Arial"/>
          <w:sz w:val="20"/>
          <w:szCs w:val="20"/>
        </w:rPr>
        <w:t xml:space="preserve"> net zero. This problem will not be solved with more onshore wind deployment in south</w:t>
      </w:r>
      <w:r w:rsidR="00B61B19">
        <w:rPr>
          <w:rFonts w:ascii="Arial" w:hAnsi="Arial" w:cs="Arial"/>
          <w:sz w:val="20"/>
          <w:szCs w:val="20"/>
        </w:rPr>
        <w:t>ern GB</w:t>
      </w:r>
      <w:r w:rsidR="00107BDC">
        <w:rPr>
          <w:rFonts w:ascii="Arial" w:hAnsi="Arial" w:cs="Arial"/>
          <w:sz w:val="20"/>
          <w:szCs w:val="20"/>
        </w:rPr>
        <w:t xml:space="preserve"> due to considerable planning barriers and low load factors </w:t>
      </w:r>
      <w:r w:rsidR="00C909E4">
        <w:rPr>
          <w:rFonts w:ascii="Arial" w:hAnsi="Arial" w:cs="Arial"/>
          <w:sz w:val="20"/>
          <w:szCs w:val="20"/>
        </w:rPr>
        <w:t>i</w:t>
      </w:r>
      <w:r w:rsidR="00107BDC">
        <w:rPr>
          <w:rFonts w:ascii="Arial" w:hAnsi="Arial" w:cs="Arial"/>
          <w:sz w:val="20"/>
          <w:szCs w:val="20"/>
        </w:rPr>
        <w:t>n those areas.</w:t>
      </w:r>
      <w:r w:rsidR="00830751">
        <w:rPr>
          <w:rFonts w:ascii="Arial" w:hAnsi="Arial" w:cs="Arial"/>
          <w:sz w:val="20"/>
          <w:szCs w:val="20"/>
        </w:rPr>
        <w:t xml:space="preserve"> </w:t>
      </w:r>
    </w:p>
    <w:p w14:paraId="59FEE0A1" w14:textId="7C2C6CA0" w:rsidR="00830751" w:rsidRDefault="00830751" w:rsidP="00D4450B">
      <w:pPr>
        <w:pStyle w:val="NormalWeb"/>
        <w:spacing w:after="0" w:line="276" w:lineRule="auto"/>
        <w:jc w:val="both"/>
        <w:rPr>
          <w:rFonts w:ascii="Arial" w:hAnsi="Arial" w:cs="Arial"/>
          <w:color w:val="000000"/>
          <w:sz w:val="20"/>
          <w:szCs w:val="20"/>
        </w:rPr>
      </w:pPr>
      <w:r w:rsidRPr="000A48D0">
        <w:rPr>
          <w:rFonts w:ascii="Arial" w:hAnsi="Arial" w:cs="Arial"/>
          <w:color w:val="000000"/>
          <w:sz w:val="20"/>
          <w:szCs w:val="20"/>
        </w:rPr>
        <w:t xml:space="preserve">Additionally, we </w:t>
      </w:r>
      <w:r w:rsidR="0097405E">
        <w:rPr>
          <w:rFonts w:ascii="Arial" w:hAnsi="Arial" w:cs="Arial"/>
          <w:color w:val="000000"/>
          <w:sz w:val="20"/>
          <w:szCs w:val="20"/>
        </w:rPr>
        <w:t>note</w:t>
      </w:r>
      <w:r w:rsidRPr="000A48D0">
        <w:rPr>
          <w:rFonts w:ascii="Arial" w:hAnsi="Arial" w:cs="Arial"/>
          <w:color w:val="000000"/>
          <w:sz w:val="20"/>
          <w:szCs w:val="20"/>
        </w:rPr>
        <w:t xml:space="preserve"> that the southern North Sea is becoming increasingly congested, with offshore wind projects seeking space to operate alongside many other users</w:t>
      </w:r>
      <w:r w:rsidR="00B61B19">
        <w:rPr>
          <w:rFonts w:ascii="Arial" w:hAnsi="Arial" w:cs="Arial"/>
          <w:color w:val="000000"/>
          <w:sz w:val="20"/>
          <w:szCs w:val="20"/>
        </w:rPr>
        <w:t xml:space="preserve"> with recent development announcements targeting northern areas of the North Sea off the coast of S</w:t>
      </w:r>
      <w:r w:rsidR="0042563A">
        <w:rPr>
          <w:rFonts w:ascii="Arial" w:hAnsi="Arial" w:cs="Arial"/>
          <w:color w:val="000000"/>
          <w:sz w:val="20"/>
          <w:szCs w:val="20"/>
        </w:rPr>
        <w:t>c</w:t>
      </w:r>
      <w:r w:rsidR="00B61B19">
        <w:rPr>
          <w:rFonts w:ascii="Arial" w:hAnsi="Arial" w:cs="Arial"/>
          <w:color w:val="000000"/>
          <w:sz w:val="20"/>
          <w:szCs w:val="20"/>
        </w:rPr>
        <w:t>otland</w:t>
      </w:r>
      <w:r w:rsidRPr="000A48D0">
        <w:rPr>
          <w:rFonts w:ascii="Arial" w:hAnsi="Arial" w:cs="Arial"/>
          <w:color w:val="000000"/>
          <w:sz w:val="20"/>
          <w:szCs w:val="20"/>
        </w:rPr>
        <w:t xml:space="preserve">. Similarly, </w:t>
      </w:r>
      <w:r w:rsidR="00B61B19">
        <w:rPr>
          <w:rFonts w:ascii="Arial" w:hAnsi="Arial" w:cs="Arial"/>
          <w:color w:val="000000"/>
          <w:sz w:val="20"/>
          <w:szCs w:val="20"/>
        </w:rPr>
        <w:t xml:space="preserve">land for </w:t>
      </w:r>
      <w:r w:rsidR="00B61B19" w:rsidRPr="000A48D0">
        <w:rPr>
          <w:rFonts w:ascii="Arial" w:hAnsi="Arial" w:cs="Arial"/>
          <w:color w:val="000000"/>
          <w:sz w:val="20"/>
          <w:szCs w:val="20"/>
        </w:rPr>
        <w:t xml:space="preserve">large </w:t>
      </w:r>
      <w:r w:rsidR="00B61B19">
        <w:rPr>
          <w:rFonts w:ascii="Arial" w:hAnsi="Arial" w:cs="Arial"/>
          <w:color w:val="000000"/>
          <w:sz w:val="20"/>
          <w:szCs w:val="20"/>
        </w:rPr>
        <w:t xml:space="preserve">scale </w:t>
      </w:r>
      <w:r w:rsidRPr="000A48D0">
        <w:rPr>
          <w:rFonts w:ascii="Arial" w:hAnsi="Arial" w:cs="Arial"/>
          <w:color w:val="000000"/>
          <w:sz w:val="20"/>
          <w:szCs w:val="20"/>
        </w:rPr>
        <w:t xml:space="preserve">solar energy </w:t>
      </w:r>
      <w:r w:rsidR="00B61B19" w:rsidRPr="000A48D0">
        <w:rPr>
          <w:rFonts w:ascii="Arial" w:hAnsi="Arial" w:cs="Arial"/>
          <w:color w:val="000000"/>
          <w:sz w:val="20"/>
          <w:szCs w:val="20"/>
        </w:rPr>
        <w:t xml:space="preserve">sites </w:t>
      </w:r>
      <w:r w:rsidRPr="000A48D0">
        <w:rPr>
          <w:rFonts w:ascii="Arial" w:hAnsi="Arial" w:cs="Arial"/>
          <w:color w:val="000000"/>
          <w:sz w:val="20"/>
          <w:szCs w:val="20"/>
        </w:rPr>
        <w:t xml:space="preserve">in the south of England is becoming progressively </w:t>
      </w:r>
      <w:r w:rsidR="00294C5E">
        <w:rPr>
          <w:rFonts w:ascii="Arial" w:hAnsi="Arial" w:cs="Arial"/>
          <w:color w:val="000000"/>
          <w:sz w:val="20"/>
          <w:szCs w:val="20"/>
        </w:rPr>
        <w:t xml:space="preserve">more </w:t>
      </w:r>
      <w:r w:rsidRPr="000A48D0">
        <w:rPr>
          <w:rFonts w:ascii="Arial" w:hAnsi="Arial" w:cs="Arial"/>
          <w:color w:val="000000"/>
          <w:sz w:val="20"/>
          <w:szCs w:val="20"/>
        </w:rPr>
        <w:t xml:space="preserve">difficult to find. Overall, Scotland’s renewable resource will </w:t>
      </w:r>
      <w:r w:rsidR="00294C5E" w:rsidRPr="000A48D0">
        <w:rPr>
          <w:rFonts w:ascii="Arial" w:hAnsi="Arial" w:cs="Arial"/>
          <w:color w:val="000000"/>
          <w:sz w:val="20"/>
          <w:szCs w:val="20"/>
        </w:rPr>
        <w:t xml:space="preserve">gradually </w:t>
      </w:r>
      <w:r w:rsidRPr="000A48D0">
        <w:rPr>
          <w:rFonts w:ascii="Arial" w:hAnsi="Arial" w:cs="Arial"/>
          <w:color w:val="000000"/>
          <w:sz w:val="20"/>
          <w:szCs w:val="20"/>
        </w:rPr>
        <w:t>become more important to supply the energy we will need to meet our climate targets</w:t>
      </w:r>
      <w:r>
        <w:rPr>
          <w:rFonts w:ascii="Arial" w:hAnsi="Arial" w:cs="Arial"/>
          <w:color w:val="000000"/>
          <w:sz w:val="20"/>
          <w:szCs w:val="20"/>
        </w:rPr>
        <w:t>, but the current charging regime is constraining deployment in those areas</w:t>
      </w:r>
      <w:r w:rsidR="00294C5E">
        <w:rPr>
          <w:rFonts w:ascii="Arial" w:hAnsi="Arial" w:cs="Arial"/>
          <w:color w:val="000000"/>
          <w:sz w:val="20"/>
          <w:szCs w:val="20"/>
        </w:rPr>
        <w:t>,</w:t>
      </w:r>
      <w:r>
        <w:rPr>
          <w:rFonts w:ascii="Arial" w:hAnsi="Arial" w:cs="Arial"/>
          <w:color w:val="000000"/>
          <w:sz w:val="20"/>
          <w:szCs w:val="20"/>
        </w:rPr>
        <w:t xml:space="preserve"> making the task very difficult to achieve.</w:t>
      </w:r>
    </w:p>
    <w:p w14:paraId="462CFEE9" w14:textId="745C3097" w:rsidR="006A23E4" w:rsidRPr="000A48D0" w:rsidRDefault="006A23E4" w:rsidP="006A23E4">
      <w:pPr>
        <w:pStyle w:val="NormalWeb"/>
        <w:spacing w:before="0" w:beforeAutospacing="0" w:after="0" w:afterAutospacing="0" w:line="276" w:lineRule="auto"/>
        <w:jc w:val="both"/>
        <w:rPr>
          <w:rFonts w:ascii="Arial" w:hAnsi="Arial" w:cs="Arial"/>
          <w:sz w:val="20"/>
          <w:szCs w:val="20"/>
        </w:rPr>
      </w:pPr>
      <w:r>
        <w:rPr>
          <w:rFonts w:ascii="Arial" w:hAnsi="Arial" w:cs="Arial"/>
          <w:sz w:val="20"/>
          <w:szCs w:val="20"/>
        </w:rPr>
        <w:lastRenderedPageBreak/>
        <w:t>W</w:t>
      </w:r>
      <w:r w:rsidR="00E05DCC">
        <w:rPr>
          <w:rFonts w:ascii="Arial" w:hAnsi="Arial" w:cs="Arial"/>
          <w:sz w:val="20"/>
          <w:szCs w:val="20"/>
        </w:rPr>
        <w:t>ith regards to offshore wind</w:t>
      </w:r>
      <w:r w:rsidR="0042563A">
        <w:rPr>
          <w:rFonts w:ascii="Arial" w:hAnsi="Arial" w:cs="Arial"/>
          <w:sz w:val="20"/>
          <w:szCs w:val="20"/>
        </w:rPr>
        <w:t>,</w:t>
      </w:r>
      <w:r w:rsidR="00E05DCC">
        <w:rPr>
          <w:rFonts w:ascii="Arial" w:hAnsi="Arial" w:cs="Arial"/>
          <w:sz w:val="20"/>
          <w:szCs w:val="20"/>
        </w:rPr>
        <w:t xml:space="preserve"> w</w:t>
      </w:r>
      <w:r>
        <w:rPr>
          <w:rFonts w:ascii="Arial" w:hAnsi="Arial" w:cs="Arial"/>
          <w:sz w:val="20"/>
          <w:szCs w:val="20"/>
        </w:rPr>
        <w:t xml:space="preserve">e note that </w:t>
      </w:r>
      <w:proofErr w:type="spellStart"/>
      <w:r w:rsidR="0097405E">
        <w:rPr>
          <w:rFonts w:ascii="Arial" w:hAnsi="Arial" w:cs="Arial"/>
          <w:sz w:val="20"/>
          <w:szCs w:val="20"/>
        </w:rPr>
        <w:t>TNUoS</w:t>
      </w:r>
      <w:proofErr w:type="spellEnd"/>
      <w:r w:rsidR="0097405E">
        <w:rPr>
          <w:rFonts w:ascii="Arial" w:hAnsi="Arial" w:cs="Arial"/>
          <w:sz w:val="20"/>
          <w:szCs w:val="20"/>
        </w:rPr>
        <w:t xml:space="preserve"> is making Scottish projects less competitive in recent </w:t>
      </w:r>
      <w:proofErr w:type="spellStart"/>
      <w:r w:rsidR="0097405E">
        <w:rPr>
          <w:rFonts w:ascii="Arial" w:hAnsi="Arial" w:cs="Arial"/>
          <w:sz w:val="20"/>
          <w:szCs w:val="20"/>
        </w:rPr>
        <w:t>CfD</w:t>
      </w:r>
      <w:proofErr w:type="spellEnd"/>
      <w:r w:rsidR="0097405E">
        <w:rPr>
          <w:rFonts w:ascii="Arial" w:hAnsi="Arial" w:cs="Arial"/>
          <w:sz w:val="20"/>
          <w:szCs w:val="20"/>
        </w:rPr>
        <w:t xml:space="preserve"> allocation rounds</w:t>
      </w:r>
      <w:r w:rsidR="00E05DCC">
        <w:rPr>
          <w:rFonts w:ascii="Arial" w:hAnsi="Arial" w:cs="Arial"/>
          <w:sz w:val="20"/>
          <w:szCs w:val="20"/>
        </w:rPr>
        <w:t>, as it is not a cost that developers can control</w:t>
      </w:r>
      <w:r>
        <w:rPr>
          <w:rFonts w:ascii="Arial" w:hAnsi="Arial" w:cs="Arial"/>
          <w:sz w:val="20"/>
          <w:szCs w:val="20"/>
        </w:rPr>
        <w:t xml:space="preserve">. </w:t>
      </w:r>
      <w:r w:rsidR="00E05DCC">
        <w:rPr>
          <w:rFonts w:ascii="Arial" w:hAnsi="Arial" w:cs="Arial"/>
          <w:sz w:val="20"/>
          <w:szCs w:val="20"/>
        </w:rPr>
        <w:t xml:space="preserve">From </w:t>
      </w:r>
      <w:r>
        <w:rPr>
          <w:rFonts w:ascii="Arial" w:hAnsi="Arial" w:cs="Arial"/>
          <w:sz w:val="20"/>
          <w:szCs w:val="20"/>
        </w:rPr>
        <w:t xml:space="preserve">the </w:t>
      </w:r>
      <w:r w:rsidRPr="000A48D0">
        <w:rPr>
          <w:rFonts w:ascii="Arial" w:hAnsi="Arial" w:cs="Arial"/>
          <w:sz w:val="20"/>
          <w:szCs w:val="20"/>
        </w:rPr>
        <w:t>auction round</w:t>
      </w:r>
      <w:r w:rsidR="00294C5E">
        <w:rPr>
          <w:rFonts w:ascii="Arial" w:hAnsi="Arial" w:cs="Arial"/>
          <w:sz w:val="20"/>
          <w:szCs w:val="20"/>
        </w:rPr>
        <w:t>s</w:t>
      </w:r>
      <w:r w:rsidRPr="000A48D0">
        <w:rPr>
          <w:rFonts w:ascii="Arial" w:hAnsi="Arial" w:cs="Arial"/>
          <w:sz w:val="20"/>
          <w:szCs w:val="20"/>
        </w:rPr>
        <w:t xml:space="preserve"> AR1</w:t>
      </w:r>
      <w:r w:rsidRPr="000A48D0">
        <w:rPr>
          <w:rStyle w:val="FootnoteReference"/>
          <w:rFonts w:ascii="Arial" w:hAnsi="Arial" w:cs="Arial"/>
          <w:sz w:val="20"/>
          <w:szCs w:val="20"/>
        </w:rPr>
        <w:footnoteReference w:id="3"/>
      </w:r>
      <w:r w:rsidRPr="000A48D0">
        <w:rPr>
          <w:rFonts w:ascii="Arial" w:hAnsi="Arial" w:cs="Arial"/>
          <w:sz w:val="20"/>
          <w:szCs w:val="20"/>
        </w:rPr>
        <w:t>, AR2</w:t>
      </w:r>
      <w:r w:rsidRPr="000A48D0">
        <w:rPr>
          <w:rStyle w:val="FootnoteReference"/>
          <w:rFonts w:ascii="Arial" w:hAnsi="Arial" w:cs="Arial"/>
          <w:sz w:val="20"/>
          <w:szCs w:val="20"/>
        </w:rPr>
        <w:footnoteReference w:id="4"/>
      </w:r>
      <w:r w:rsidRPr="000A48D0">
        <w:rPr>
          <w:rFonts w:ascii="Arial" w:hAnsi="Arial" w:cs="Arial"/>
          <w:sz w:val="20"/>
          <w:szCs w:val="20"/>
        </w:rPr>
        <w:t xml:space="preserve"> and AR3</w:t>
      </w:r>
      <w:r w:rsidRPr="000A48D0">
        <w:rPr>
          <w:rStyle w:val="FootnoteReference"/>
          <w:rFonts w:ascii="Arial" w:hAnsi="Arial" w:cs="Arial"/>
          <w:sz w:val="20"/>
          <w:szCs w:val="20"/>
        </w:rPr>
        <w:footnoteReference w:id="5"/>
      </w:r>
      <w:r w:rsidRPr="000A48D0">
        <w:rPr>
          <w:rFonts w:ascii="Arial" w:hAnsi="Arial" w:cs="Arial"/>
          <w:sz w:val="20"/>
          <w:szCs w:val="20"/>
        </w:rPr>
        <w:t xml:space="preserve"> </w:t>
      </w:r>
      <w:r w:rsidR="00E05DCC">
        <w:rPr>
          <w:rFonts w:ascii="Arial" w:hAnsi="Arial" w:cs="Arial"/>
          <w:sz w:val="20"/>
          <w:szCs w:val="20"/>
        </w:rPr>
        <w:t xml:space="preserve">results </w:t>
      </w:r>
      <w:r w:rsidRPr="000A48D0">
        <w:rPr>
          <w:rFonts w:ascii="Arial" w:hAnsi="Arial" w:cs="Arial"/>
          <w:sz w:val="20"/>
          <w:szCs w:val="20"/>
        </w:rPr>
        <w:t xml:space="preserve">available through BEIS website (see table below), </w:t>
      </w:r>
      <w:r w:rsidR="0097405E">
        <w:rPr>
          <w:rFonts w:ascii="Arial" w:hAnsi="Arial" w:cs="Arial"/>
          <w:sz w:val="20"/>
          <w:szCs w:val="20"/>
        </w:rPr>
        <w:t>it is possible to see</w:t>
      </w:r>
      <w:r w:rsidRPr="000A48D0">
        <w:rPr>
          <w:rFonts w:ascii="Arial" w:hAnsi="Arial" w:cs="Arial"/>
          <w:sz w:val="20"/>
          <w:szCs w:val="20"/>
        </w:rPr>
        <w:t xml:space="preserve"> that the capacity awarded to offshore wind Scottish projects has decreased from 39 % in AR1 to 9% in AR3.</w:t>
      </w:r>
    </w:p>
    <w:p w14:paraId="473C1174" w14:textId="77777777" w:rsidR="006A23E4" w:rsidRPr="000A48D0" w:rsidRDefault="006A23E4" w:rsidP="006A23E4">
      <w:pPr>
        <w:pStyle w:val="NormalWeb"/>
        <w:spacing w:before="0" w:beforeAutospacing="0" w:after="0" w:afterAutospacing="0" w:line="276" w:lineRule="auto"/>
        <w:ind w:left="426"/>
        <w:jc w:val="both"/>
        <w:rPr>
          <w:rFonts w:ascii="Arial" w:hAnsi="Arial" w:cs="Arial"/>
          <w:sz w:val="20"/>
          <w:szCs w:val="20"/>
        </w:rPr>
      </w:pPr>
    </w:p>
    <w:tbl>
      <w:tblPr>
        <w:tblW w:w="7761" w:type="dxa"/>
        <w:tblInd w:w="704" w:type="dxa"/>
        <w:tblLook w:val="04A0" w:firstRow="1" w:lastRow="0" w:firstColumn="1" w:lastColumn="0" w:noHBand="0" w:noVBand="1"/>
      </w:tblPr>
      <w:tblGrid>
        <w:gridCol w:w="1418"/>
        <w:gridCol w:w="2268"/>
        <w:gridCol w:w="2195"/>
        <w:gridCol w:w="1880"/>
      </w:tblGrid>
      <w:tr w:rsidR="006A23E4" w:rsidRPr="000A48D0" w14:paraId="5113081A" w14:textId="77777777" w:rsidTr="00501D31">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65CB0" w14:textId="77777777" w:rsidR="006A23E4" w:rsidRPr="000A48D0" w:rsidRDefault="006A23E4" w:rsidP="00501D31">
            <w:pPr>
              <w:spacing w:after="0"/>
              <w:ind w:left="426"/>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t>Auction Round</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5CECC10" w14:textId="77777777" w:rsidR="006A23E4" w:rsidRPr="000A48D0" w:rsidRDefault="006A23E4" w:rsidP="00501D31">
            <w:pPr>
              <w:spacing w:after="0"/>
              <w:ind w:left="426"/>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t>Total offshore wind capacity awarded (MW)</w:t>
            </w:r>
          </w:p>
        </w:tc>
        <w:tc>
          <w:tcPr>
            <w:tcW w:w="2195" w:type="dxa"/>
            <w:tcBorders>
              <w:top w:val="single" w:sz="4" w:space="0" w:color="auto"/>
              <w:left w:val="nil"/>
              <w:bottom w:val="single" w:sz="4" w:space="0" w:color="auto"/>
              <w:right w:val="single" w:sz="4" w:space="0" w:color="auto"/>
            </w:tcBorders>
            <w:shd w:val="clear" w:color="auto" w:fill="auto"/>
            <w:noWrap/>
            <w:vAlign w:val="center"/>
            <w:hideMark/>
          </w:tcPr>
          <w:p w14:paraId="497772E1" w14:textId="77777777" w:rsidR="006A23E4" w:rsidRPr="000A48D0" w:rsidRDefault="006A23E4" w:rsidP="00501D31">
            <w:pPr>
              <w:spacing w:after="0"/>
              <w:ind w:left="426"/>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t>Capacity of offshore wind Scottish projects (MW)</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67EFF41" w14:textId="77777777" w:rsidR="006A23E4" w:rsidRPr="000A48D0" w:rsidRDefault="006A23E4" w:rsidP="00501D31">
            <w:pPr>
              <w:spacing w:after="0"/>
              <w:ind w:left="426"/>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t>% Capacity awarded to Scottish projects</w:t>
            </w:r>
          </w:p>
        </w:tc>
      </w:tr>
      <w:tr w:rsidR="006A23E4" w:rsidRPr="000A48D0" w14:paraId="2D7EA145" w14:textId="77777777" w:rsidTr="00501D3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22A9CB8" w14:textId="77777777" w:rsidR="006A23E4" w:rsidRPr="000A48D0" w:rsidRDefault="006A23E4" w:rsidP="00501D31">
            <w:pPr>
              <w:spacing w:after="0"/>
              <w:ind w:left="426"/>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AR1</w:t>
            </w:r>
          </w:p>
        </w:tc>
        <w:tc>
          <w:tcPr>
            <w:tcW w:w="2268" w:type="dxa"/>
            <w:tcBorders>
              <w:top w:val="nil"/>
              <w:left w:val="nil"/>
              <w:bottom w:val="single" w:sz="4" w:space="0" w:color="auto"/>
              <w:right w:val="single" w:sz="4" w:space="0" w:color="auto"/>
            </w:tcBorders>
            <w:shd w:val="clear" w:color="auto" w:fill="auto"/>
            <w:noWrap/>
            <w:vAlign w:val="bottom"/>
            <w:hideMark/>
          </w:tcPr>
          <w:p w14:paraId="17CB1F6E" w14:textId="77777777" w:rsidR="006A23E4" w:rsidRPr="000A48D0" w:rsidRDefault="006A23E4" w:rsidP="00501D31">
            <w:pPr>
              <w:spacing w:after="0"/>
              <w:ind w:left="426"/>
              <w:jc w:val="right"/>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 xml:space="preserve"> 1162 </w:t>
            </w:r>
          </w:p>
        </w:tc>
        <w:tc>
          <w:tcPr>
            <w:tcW w:w="2195" w:type="dxa"/>
            <w:tcBorders>
              <w:top w:val="nil"/>
              <w:left w:val="nil"/>
              <w:bottom w:val="single" w:sz="4" w:space="0" w:color="auto"/>
              <w:right w:val="single" w:sz="4" w:space="0" w:color="auto"/>
            </w:tcBorders>
            <w:shd w:val="clear" w:color="auto" w:fill="auto"/>
            <w:noWrap/>
            <w:vAlign w:val="bottom"/>
            <w:hideMark/>
          </w:tcPr>
          <w:p w14:paraId="6681779B" w14:textId="77777777" w:rsidR="006A23E4" w:rsidRPr="000A48D0" w:rsidRDefault="006A23E4" w:rsidP="00501D31">
            <w:pPr>
              <w:spacing w:after="0"/>
              <w:ind w:left="426"/>
              <w:jc w:val="right"/>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 xml:space="preserve"> 448 </w:t>
            </w:r>
          </w:p>
        </w:tc>
        <w:tc>
          <w:tcPr>
            <w:tcW w:w="1880" w:type="dxa"/>
            <w:tcBorders>
              <w:top w:val="nil"/>
              <w:left w:val="nil"/>
              <w:bottom w:val="single" w:sz="4" w:space="0" w:color="auto"/>
              <w:right w:val="single" w:sz="4" w:space="0" w:color="auto"/>
            </w:tcBorders>
            <w:shd w:val="clear" w:color="auto" w:fill="auto"/>
            <w:noWrap/>
            <w:vAlign w:val="bottom"/>
            <w:hideMark/>
          </w:tcPr>
          <w:p w14:paraId="0FD65B70" w14:textId="77777777" w:rsidR="006A23E4" w:rsidRPr="000A48D0" w:rsidRDefault="006A23E4" w:rsidP="00501D31">
            <w:pPr>
              <w:spacing w:after="0"/>
              <w:ind w:left="426"/>
              <w:jc w:val="right"/>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t>39%</w:t>
            </w:r>
          </w:p>
        </w:tc>
      </w:tr>
      <w:tr w:rsidR="006A23E4" w:rsidRPr="000A48D0" w14:paraId="1818BC4A" w14:textId="77777777" w:rsidTr="00501D3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DFD95C7" w14:textId="77777777" w:rsidR="006A23E4" w:rsidRPr="000A48D0" w:rsidRDefault="006A23E4" w:rsidP="00501D31">
            <w:pPr>
              <w:spacing w:after="0"/>
              <w:ind w:left="426"/>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AR2</w:t>
            </w:r>
          </w:p>
        </w:tc>
        <w:tc>
          <w:tcPr>
            <w:tcW w:w="2268" w:type="dxa"/>
            <w:tcBorders>
              <w:top w:val="nil"/>
              <w:left w:val="nil"/>
              <w:bottom w:val="single" w:sz="4" w:space="0" w:color="auto"/>
              <w:right w:val="single" w:sz="4" w:space="0" w:color="auto"/>
            </w:tcBorders>
            <w:shd w:val="clear" w:color="auto" w:fill="auto"/>
            <w:noWrap/>
            <w:vAlign w:val="bottom"/>
            <w:hideMark/>
          </w:tcPr>
          <w:p w14:paraId="3467D899" w14:textId="77777777" w:rsidR="006A23E4" w:rsidRPr="000A48D0" w:rsidRDefault="006A23E4" w:rsidP="00501D31">
            <w:pPr>
              <w:spacing w:after="0"/>
              <w:ind w:left="426"/>
              <w:jc w:val="right"/>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 xml:space="preserve"> 3196 </w:t>
            </w:r>
          </w:p>
        </w:tc>
        <w:tc>
          <w:tcPr>
            <w:tcW w:w="2195" w:type="dxa"/>
            <w:tcBorders>
              <w:top w:val="nil"/>
              <w:left w:val="nil"/>
              <w:bottom w:val="single" w:sz="4" w:space="0" w:color="auto"/>
              <w:right w:val="single" w:sz="4" w:space="0" w:color="auto"/>
            </w:tcBorders>
            <w:shd w:val="clear" w:color="auto" w:fill="auto"/>
            <w:noWrap/>
            <w:vAlign w:val="bottom"/>
            <w:hideMark/>
          </w:tcPr>
          <w:p w14:paraId="0EED2F3D" w14:textId="77777777" w:rsidR="006A23E4" w:rsidRPr="000A48D0" w:rsidRDefault="006A23E4" w:rsidP="00501D31">
            <w:pPr>
              <w:spacing w:after="0"/>
              <w:ind w:left="426"/>
              <w:jc w:val="right"/>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 xml:space="preserve"> 950 </w:t>
            </w:r>
          </w:p>
        </w:tc>
        <w:tc>
          <w:tcPr>
            <w:tcW w:w="1880" w:type="dxa"/>
            <w:tcBorders>
              <w:top w:val="nil"/>
              <w:left w:val="nil"/>
              <w:bottom w:val="single" w:sz="4" w:space="0" w:color="auto"/>
              <w:right w:val="single" w:sz="4" w:space="0" w:color="auto"/>
            </w:tcBorders>
            <w:shd w:val="clear" w:color="auto" w:fill="auto"/>
            <w:noWrap/>
            <w:vAlign w:val="bottom"/>
            <w:hideMark/>
          </w:tcPr>
          <w:p w14:paraId="3C39FFD7" w14:textId="77777777" w:rsidR="006A23E4" w:rsidRPr="000A48D0" w:rsidRDefault="006A23E4" w:rsidP="00501D31">
            <w:pPr>
              <w:spacing w:after="0"/>
              <w:ind w:left="426"/>
              <w:jc w:val="right"/>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t>30%</w:t>
            </w:r>
          </w:p>
        </w:tc>
      </w:tr>
      <w:tr w:rsidR="006A23E4" w:rsidRPr="000A48D0" w14:paraId="76C48D9D" w14:textId="77777777" w:rsidTr="00501D3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7FC2CEA" w14:textId="77777777" w:rsidR="006A23E4" w:rsidRPr="000A48D0" w:rsidRDefault="006A23E4" w:rsidP="00501D31">
            <w:pPr>
              <w:spacing w:after="0"/>
              <w:ind w:left="426"/>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AR3</w:t>
            </w:r>
          </w:p>
        </w:tc>
        <w:tc>
          <w:tcPr>
            <w:tcW w:w="2268" w:type="dxa"/>
            <w:tcBorders>
              <w:top w:val="nil"/>
              <w:left w:val="nil"/>
              <w:bottom w:val="single" w:sz="4" w:space="0" w:color="auto"/>
              <w:right w:val="single" w:sz="4" w:space="0" w:color="auto"/>
            </w:tcBorders>
            <w:shd w:val="clear" w:color="auto" w:fill="auto"/>
            <w:noWrap/>
            <w:vAlign w:val="bottom"/>
            <w:hideMark/>
          </w:tcPr>
          <w:p w14:paraId="7053D22A" w14:textId="77777777" w:rsidR="006A23E4" w:rsidRPr="000A48D0" w:rsidRDefault="006A23E4" w:rsidP="00501D31">
            <w:pPr>
              <w:spacing w:after="0"/>
              <w:ind w:left="426"/>
              <w:jc w:val="right"/>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 xml:space="preserve"> 5466  </w:t>
            </w:r>
          </w:p>
        </w:tc>
        <w:tc>
          <w:tcPr>
            <w:tcW w:w="2195" w:type="dxa"/>
            <w:tcBorders>
              <w:top w:val="nil"/>
              <w:left w:val="nil"/>
              <w:bottom w:val="single" w:sz="4" w:space="0" w:color="auto"/>
              <w:right w:val="single" w:sz="4" w:space="0" w:color="auto"/>
            </w:tcBorders>
            <w:shd w:val="clear" w:color="auto" w:fill="auto"/>
            <w:noWrap/>
            <w:vAlign w:val="bottom"/>
            <w:hideMark/>
          </w:tcPr>
          <w:p w14:paraId="5AB28832" w14:textId="77777777" w:rsidR="006A23E4" w:rsidRPr="000A48D0" w:rsidRDefault="006A23E4" w:rsidP="00501D31">
            <w:pPr>
              <w:spacing w:after="0"/>
              <w:ind w:left="426"/>
              <w:jc w:val="right"/>
              <w:rPr>
                <w:rFonts w:ascii="Arial" w:eastAsia="Times New Roman" w:hAnsi="Arial" w:cs="Arial"/>
                <w:color w:val="000000"/>
                <w:sz w:val="20"/>
                <w:szCs w:val="20"/>
                <w:lang w:eastAsia="en-GB"/>
              </w:rPr>
            </w:pPr>
            <w:r w:rsidRPr="000A48D0">
              <w:rPr>
                <w:rFonts w:ascii="Arial" w:eastAsia="Times New Roman" w:hAnsi="Arial" w:cs="Arial"/>
                <w:color w:val="000000"/>
                <w:sz w:val="20"/>
                <w:szCs w:val="20"/>
                <w:lang w:eastAsia="en-GB"/>
              </w:rPr>
              <w:t xml:space="preserve">466 </w:t>
            </w:r>
          </w:p>
        </w:tc>
        <w:tc>
          <w:tcPr>
            <w:tcW w:w="1880" w:type="dxa"/>
            <w:tcBorders>
              <w:top w:val="nil"/>
              <w:left w:val="nil"/>
              <w:bottom w:val="single" w:sz="4" w:space="0" w:color="auto"/>
              <w:right w:val="single" w:sz="4" w:space="0" w:color="auto"/>
            </w:tcBorders>
            <w:shd w:val="clear" w:color="auto" w:fill="auto"/>
            <w:noWrap/>
            <w:vAlign w:val="bottom"/>
            <w:hideMark/>
          </w:tcPr>
          <w:p w14:paraId="0E1FD895" w14:textId="77777777" w:rsidR="006A23E4" w:rsidRPr="000A48D0" w:rsidRDefault="006A23E4" w:rsidP="00501D31">
            <w:pPr>
              <w:spacing w:after="0"/>
              <w:ind w:left="426"/>
              <w:jc w:val="right"/>
              <w:rPr>
                <w:rFonts w:ascii="Arial" w:eastAsia="Times New Roman" w:hAnsi="Arial" w:cs="Arial"/>
                <w:b/>
                <w:bCs/>
                <w:color w:val="000000"/>
                <w:sz w:val="20"/>
                <w:szCs w:val="20"/>
                <w:lang w:eastAsia="en-GB"/>
              </w:rPr>
            </w:pPr>
            <w:r w:rsidRPr="000A48D0">
              <w:rPr>
                <w:rFonts w:ascii="Arial" w:eastAsia="Times New Roman" w:hAnsi="Arial" w:cs="Arial"/>
                <w:b/>
                <w:bCs/>
                <w:color w:val="000000"/>
                <w:sz w:val="20"/>
                <w:szCs w:val="20"/>
                <w:lang w:eastAsia="en-GB"/>
              </w:rPr>
              <w:t>9%</w:t>
            </w:r>
          </w:p>
        </w:tc>
      </w:tr>
    </w:tbl>
    <w:p w14:paraId="1F2A9D82" w14:textId="6D79B6CB" w:rsidR="00830751" w:rsidRDefault="00830751" w:rsidP="00830751">
      <w:pPr>
        <w:pStyle w:val="NormalWeb"/>
        <w:spacing w:before="0" w:beforeAutospacing="0" w:after="0" w:afterAutospacing="0" w:line="276" w:lineRule="auto"/>
        <w:jc w:val="both"/>
        <w:rPr>
          <w:rFonts w:ascii="Arial" w:hAnsi="Arial" w:cs="Arial"/>
          <w:sz w:val="20"/>
          <w:szCs w:val="20"/>
        </w:rPr>
      </w:pPr>
    </w:p>
    <w:p w14:paraId="01210C5B" w14:textId="47E0DF0A" w:rsidR="006A23E4" w:rsidRPr="000A48D0" w:rsidRDefault="006A23E4" w:rsidP="006A23E4">
      <w:pPr>
        <w:pStyle w:val="NormalWeb"/>
        <w:spacing w:before="0" w:beforeAutospacing="0" w:after="0" w:afterAutospacing="0" w:line="276" w:lineRule="auto"/>
        <w:jc w:val="both"/>
        <w:rPr>
          <w:rFonts w:ascii="Arial" w:hAnsi="Arial" w:cs="Arial"/>
          <w:sz w:val="20"/>
          <w:szCs w:val="20"/>
        </w:rPr>
      </w:pPr>
      <w:r w:rsidRPr="00A13DDC">
        <w:rPr>
          <w:rFonts w:ascii="Arial" w:hAnsi="Arial" w:cs="Arial"/>
          <w:sz w:val="20"/>
          <w:szCs w:val="20"/>
        </w:rPr>
        <w:t>With respect to AR3</w:t>
      </w:r>
      <w:r w:rsidR="0097405E">
        <w:rPr>
          <w:rFonts w:ascii="Arial" w:hAnsi="Arial" w:cs="Arial"/>
          <w:sz w:val="20"/>
          <w:szCs w:val="20"/>
        </w:rPr>
        <w:t>,</w:t>
      </w:r>
      <w:r w:rsidRPr="00A13DDC">
        <w:rPr>
          <w:rFonts w:ascii="Arial" w:hAnsi="Arial" w:cs="Arial"/>
          <w:sz w:val="20"/>
          <w:szCs w:val="20"/>
        </w:rPr>
        <w:t xml:space="preserve"> we would like to note that several Scottish projects </w:t>
      </w:r>
      <w:r w:rsidR="00E05DCC">
        <w:rPr>
          <w:rFonts w:ascii="Arial" w:hAnsi="Arial" w:cs="Arial"/>
          <w:sz w:val="20"/>
          <w:szCs w:val="20"/>
        </w:rPr>
        <w:t xml:space="preserve">that </w:t>
      </w:r>
      <w:r w:rsidR="009E0B84">
        <w:rPr>
          <w:rFonts w:ascii="Arial" w:hAnsi="Arial" w:cs="Arial"/>
          <w:sz w:val="20"/>
          <w:szCs w:val="20"/>
        </w:rPr>
        <w:t xml:space="preserve">were </w:t>
      </w:r>
      <w:r w:rsidR="00E05DCC">
        <w:rPr>
          <w:rFonts w:ascii="Arial" w:hAnsi="Arial" w:cs="Arial"/>
          <w:sz w:val="20"/>
          <w:szCs w:val="20"/>
        </w:rPr>
        <w:t xml:space="preserve">ready to build were unsuccessful in </w:t>
      </w:r>
      <w:r w:rsidRPr="00A13DDC">
        <w:rPr>
          <w:rFonts w:ascii="Arial" w:hAnsi="Arial" w:cs="Arial"/>
          <w:sz w:val="20"/>
          <w:szCs w:val="20"/>
        </w:rPr>
        <w:t>win</w:t>
      </w:r>
      <w:r w:rsidR="00E05DCC">
        <w:rPr>
          <w:rFonts w:ascii="Arial" w:hAnsi="Arial" w:cs="Arial"/>
          <w:sz w:val="20"/>
          <w:szCs w:val="20"/>
        </w:rPr>
        <w:t>ning</w:t>
      </w:r>
      <w:r w:rsidRPr="00A13DDC">
        <w:rPr>
          <w:rFonts w:ascii="Arial" w:hAnsi="Arial" w:cs="Arial"/>
          <w:sz w:val="20"/>
          <w:szCs w:val="20"/>
        </w:rPr>
        <w:t xml:space="preserve"> contracts</w:t>
      </w:r>
      <w:r w:rsidR="00E05DCC">
        <w:rPr>
          <w:rFonts w:ascii="Arial" w:hAnsi="Arial" w:cs="Arial"/>
          <w:sz w:val="20"/>
          <w:szCs w:val="20"/>
        </w:rPr>
        <w:t>. These include</w:t>
      </w:r>
      <w:r w:rsidRPr="00A13DDC">
        <w:rPr>
          <w:rFonts w:ascii="Arial" w:hAnsi="Arial" w:cs="Arial"/>
          <w:sz w:val="20"/>
          <w:szCs w:val="20"/>
        </w:rPr>
        <w:t xml:space="preserve"> the 90-turbine Moray West Offshore Wind Farm (sister project to the Moray East wind project) </w:t>
      </w:r>
      <w:r w:rsidR="00E05DCC">
        <w:rPr>
          <w:rFonts w:ascii="Arial" w:hAnsi="Arial" w:cs="Arial"/>
          <w:sz w:val="20"/>
          <w:szCs w:val="20"/>
        </w:rPr>
        <w:t>and</w:t>
      </w:r>
      <w:r w:rsidRPr="00A13DDC">
        <w:rPr>
          <w:rFonts w:ascii="Arial" w:hAnsi="Arial" w:cs="Arial"/>
          <w:sz w:val="20"/>
          <w:szCs w:val="20"/>
        </w:rPr>
        <w:t xml:space="preserve"> Red Rock Power’s Inch Cape Wind Farm off the Angus coast. </w:t>
      </w:r>
      <w:r>
        <w:rPr>
          <w:rFonts w:ascii="Arial" w:hAnsi="Arial" w:cs="Arial"/>
          <w:sz w:val="20"/>
          <w:szCs w:val="20"/>
        </w:rPr>
        <w:t>Similarly, s</w:t>
      </w:r>
      <w:r w:rsidRPr="00A13DDC">
        <w:rPr>
          <w:rFonts w:ascii="Arial" w:hAnsi="Arial" w:cs="Arial"/>
          <w:sz w:val="20"/>
          <w:szCs w:val="20"/>
        </w:rPr>
        <w:t xml:space="preserve">everal other remote island wind projects </w:t>
      </w:r>
      <w:r w:rsidR="00E05DCC">
        <w:rPr>
          <w:rFonts w:ascii="Arial" w:hAnsi="Arial" w:cs="Arial"/>
          <w:sz w:val="20"/>
          <w:szCs w:val="20"/>
        </w:rPr>
        <w:t>were also unsuccessful</w:t>
      </w:r>
      <w:r w:rsidRPr="00A13DDC">
        <w:rPr>
          <w:rFonts w:ascii="Arial" w:hAnsi="Arial" w:cs="Arial"/>
          <w:sz w:val="20"/>
          <w:szCs w:val="20"/>
        </w:rPr>
        <w:t>, such as the Viking Wind Farm joint venture between the Shetland community and SSE.</w:t>
      </w:r>
      <w:r w:rsidR="00511BB8">
        <w:rPr>
          <w:rFonts w:ascii="Arial" w:hAnsi="Arial" w:cs="Arial"/>
          <w:sz w:val="20"/>
          <w:szCs w:val="20"/>
        </w:rPr>
        <w:t xml:space="preserve"> </w:t>
      </w:r>
      <w:r w:rsidR="00E05DCC">
        <w:rPr>
          <w:rFonts w:ascii="Arial" w:hAnsi="Arial" w:cs="Arial"/>
          <w:sz w:val="20"/>
          <w:szCs w:val="20"/>
        </w:rPr>
        <w:t xml:space="preserve">These projects </w:t>
      </w:r>
      <w:proofErr w:type="gramStart"/>
      <w:r w:rsidR="00E05DCC">
        <w:rPr>
          <w:rFonts w:ascii="Arial" w:hAnsi="Arial" w:cs="Arial"/>
          <w:sz w:val="20"/>
          <w:szCs w:val="20"/>
        </w:rPr>
        <w:t>are located in</w:t>
      </w:r>
      <w:proofErr w:type="gramEnd"/>
      <w:r w:rsidR="00E05DCC">
        <w:rPr>
          <w:rFonts w:ascii="Arial" w:hAnsi="Arial" w:cs="Arial"/>
          <w:sz w:val="20"/>
          <w:szCs w:val="20"/>
        </w:rPr>
        <w:t xml:space="preserve"> areas of high wind resource and the developers have optimised these projects to minimise costs to consumers but the more hostile conditions in the north make these projects slightly more expensive than those in the south.  When </w:t>
      </w:r>
      <w:proofErr w:type="spellStart"/>
      <w:r w:rsidR="00E05DCC">
        <w:rPr>
          <w:rFonts w:ascii="Arial" w:hAnsi="Arial" w:cs="Arial"/>
          <w:sz w:val="20"/>
          <w:szCs w:val="20"/>
        </w:rPr>
        <w:t>TNUoS</w:t>
      </w:r>
      <w:proofErr w:type="spellEnd"/>
      <w:r w:rsidR="00E05DCC">
        <w:rPr>
          <w:rFonts w:ascii="Arial" w:hAnsi="Arial" w:cs="Arial"/>
          <w:sz w:val="20"/>
          <w:szCs w:val="20"/>
        </w:rPr>
        <w:t xml:space="preserve"> charges are loaded on top of this, these projects struggle to compete despite offering high </w:t>
      </w:r>
      <w:r w:rsidR="00511BB8">
        <w:rPr>
          <w:rFonts w:ascii="Arial" w:hAnsi="Arial" w:cs="Arial"/>
          <w:sz w:val="20"/>
          <w:szCs w:val="20"/>
        </w:rPr>
        <w:t xml:space="preserve">loads </w:t>
      </w:r>
      <w:r w:rsidR="00E05DCC">
        <w:rPr>
          <w:rFonts w:ascii="Arial" w:hAnsi="Arial" w:cs="Arial"/>
          <w:sz w:val="20"/>
          <w:szCs w:val="20"/>
        </w:rPr>
        <w:t xml:space="preserve">factors. </w:t>
      </w:r>
    </w:p>
    <w:p w14:paraId="75791175" w14:textId="033AC841" w:rsidR="00830751" w:rsidRDefault="00830751" w:rsidP="006A23E4">
      <w:pPr>
        <w:pStyle w:val="NormalWeb"/>
        <w:spacing w:before="0" w:beforeAutospacing="0" w:after="0" w:afterAutospacing="0" w:line="276" w:lineRule="auto"/>
        <w:jc w:val="both"/>
        <w:rPr>
          <w:rFonts w:ascii="Arial" w:hAnsi="Arial" w:cs="Arial"/>
          <w:color w:val="000000"/>
          <w:sz w:val="20"/>
          <w:szCs w:val="20"/>
        </w:rPr>
      </w:pPr>
    </w:p>
    <w:p w14:paraId="2948F758" w14:textId="67E29CC1" w:rsidR="00D4450B" w:rsidRDefault="006A23E4" w:rsidP="00CE7EF2">
      <w:pPr>
        <w:jc w:val="both"/>
        <w:rPr>
          <w:rFonts w:ascii="Arial" w:hAnsi="Arial" w:cs="Arial"/>
          <w:sz w:val="20"/>
          <w:szCs w:val="20"/>
        </w:rPr>
      </w:pPr>
      <w:r w:rsidRPr="006A23E4">
        <w:rPr>
          <w:rFonts w:ascii="Arial" w:eastAsia="Times New Roman" w:hAnsi="Arial" w:cs="Arial"/>
          <w:sz w:val="20"/>
          <w:szCs w:val="20"/>
          <w:lang w:eastAsia="en-GB"/>
        </w:rPr>
        <w:t xml:space="preserve">This situation is expected </w:t>
      </w:r>
      <w:r w:rsidR="00BA28EE">
        <w:rPr>
          <w:rFonts w:ascii="Arial" w:eastAsia="Times New Roman" w:hAnsi="Arial" w:cs="Arial"/>
          <w:sz w:val="20"/>
          <w:szCs w:val="20"/>
          <w:lang w:eastAsia="en-GB"/>
        </w:rPr>
        <w:t xml:space="preserve">to </w:t>
      </w:r>
      <w:r w:rsidR="00B22F9E">
        <w:rPr>
          <w:rFonts w:ascii="Arial" w:eastAsia="Times New Roman" w:hAnsi="Arial" w:cs="Arial"/>
          <w:sz w:val="20"/>
          <w:szCs w:val="20"/>
          <w:lang w:eastAsia="en-GB"/>
        </w:rPr>
        <w:t>becom</w:t>
      </w:r>
      <w:r w:rsidR="00BA28EE">
        <w:rPr>
          <w:rFonts w:ascii="Arial" w:eastAsia="Times New Roman" w:hAnsi="Arial" w:cs="Arial"/>
          <w:sz w:val="20"/>
          <w:szCs w:val="20"/>
          <w:lang w:eastAsia="en-GB"/>
        </w:rPr>
        <w:t>e</w:t>
      </w:r>
      <w:r w:rsidR="00B22F9E">
        <w:rPr>
          <w:rFonts w:ascii="Arial" w:eastAsia="Times New Roman" w:hAnsi="Arial" w:cs="Arial"/>
          <w:sz w:val="20"/>
          <w:szCs w:val="20"/>
          <w:lang w:eastAsia="en-GB"/>
        </w:rPr>
        <w:t xml:space="preserve"> worse</w:t>
      </w:r>
      <w:r w:rsidRPr="006A23E4">
        <w:rPr>
          <w:rFonts w:ascii="Arial" w:eastAsia="Times New Roman" w:hAnsi="Arial" w:cs="Arial"/>
          <w:sz w:val="20"/>
          <w:szCs w:val="20"/>
          <w:lang w:eastAsia="en-GB"/>
        </w:rPr>
        <w:t xml:space="preserve"> without any action. According to National Grid ESO tariffs</w:t>
      </w:r>
      <w:r w:rsidR="00261177">
        <w:rPr>
          <w:rStyle w:val="FootnoteReference"/>
          <w:rFonts w:ascii="Arial" w:eastAsia="Times New Roman" w:hAnsi="Arial" w:cs="Arial"/>
          <w:sz w:val="20"/>
          <w:szCs w:val="20"/>
          <w:lang w:eastAsia="en-GB"/>
        </w:rPr>
        <w:footnoteReference w:id="6"/>
      </w:r>
      <w:r w:rsidRPr="006A23E4">
        <w:rPr>
          <w:rFonts w:ascii="Arial" w:eastAsia="Times New Roman" w:hAnsi="Arial" w:cs="Arial"/>
          <w:sz w:val="20"/>
          <w:szCs w:val="20"/>
          <w:lang w:eastAsia="en-GB"/>
        </w:rPr>
        <w:t xml:space="preserve">, </w:t>
      </w:r>
      <w:proofErr w:type="spellStart"/>
      <w:r w:rsidRPr="006A23E4">
        <w:rPr>
          <w:rFonts w:ascii="Arial" w:eastAsia="Times New Roman" w:hAnsi="Arial" w:cs="Arial"/>
          <w:sz w:val="20"/>
          <w:szCs w:val="20"/>
          <w:lang w:eastAsia="en-GB"/>
        </w:rPr>
        <w:t>TNUoS</w:t>
      </w:r>
      <w:proofErr w:type="spellEnd"/>
      <w:r w:rsidRPr="006A23E4">
        <w:rPr>
          <w:rFonts w:ascii="Arial" w:eastAsia="Times New Roman" w:hAnsi="Arial" w:cs="Arial"/>
          <w:sz w:val="20"/>
          <w:szCs w:val="20"/>
          <w:lang w:eastAsia="en-GB"/>
        </w:rPr>
        <w:t xml:space="preserve"> charges in Scotland have increased from 11 £/kW from 2016 to 26.35 £/kW in 2021</w:t>
      </w:r>
      <w:r>
        <w:rPr>
          <w:rFonts w:ascii="Arial" w:eastAsia="Times New Roman" w:hAnsi="Arial" w:cs="Arial"/>
          <w:sz w:val="20"/>
          <w:szCs w:val="20"/>
          <w:lang w:eastAsia="en-GB"/>
        </w:rPr>
        <w:t>.</w:t>
      </w:r>
      <w:r w:rsidR="00CE7EF2">
        <w:rPr>
          <w:rFonts w:ascii="Arial" w:eastAsia="Times New Roman" w:hAnsi="Arial" w:cs="Arial"/>
          <w:sz w:val="20"/>
          <w:szCs w:val="20"/>
          <w:lang w:eastAsia="en-GB"/>
        </w:rPr>
        <w:t xml:space="preserve"> </w:t>
      </w:r>
      <w:r w:rsidR="00830751">
        <w:rPr>
          <w:rFonts w:ascii="Arial" w:hAnsi="Arial" w:cs="Arial"/>
          <w:sz w:val="20"/>
          <w:szCs w:val="20"/>
        </w:rPr>
        <w:t>Locational</w:t>
      </w:r>
      <w:r w:rsidR="00830751" w:rsidRPr="00830751">
        <w:rPr>
          <w:rFonts w:ascii="Arial" w:hAnsi="Arial" w:cs="Arial"/>
          <w:sz w:val="20"/>
          <w:szCs w:val="20"/>
        </w:rPr>
        <w:t xml:space="preserve"> charges are at odds with other policy levers, and thus do not act as the incentive they are designed to be, but instead become market distorting. Ofgem needs to consider the wider policy environment, including delivering net zero in its charging design.</w:t>
      </w:r>
    </w:p>
    <w:p w14:paraId="5778D298" w14:textId="3BFBA9E9" w:rsidR="004C35BF" w:rsidRPr="00F01405" w:rsidRDefault="004C35BF" w:rsidP="00CE7EF2">
      <w:pPr>
        <w:jc w:val="both"/>
        <w:rPr>
          <w:rFonts w:ascii="Arial" w:hAnsi="Arial" w:cs="Arial"/>
          <w:sz w:val="20"/>
          <w:szCs w:val="20"/>
        </w:rPr>
      </w:pPr>
      <w:r>
        <w:rPr>
          <w:rFonts w:ascii="Arial" w:hAnsi="Arial" w:cs="Arial"/>
          <w:sz w:val="20"/>
          <w:szCs w:val="20"/>
        </w:rPr>
        <w:t>Finally, we would like to note that a</w:t>
      </w:r>
      <w:r w:rsidRPr="00792CFB">
        <w:rPr>
          <w:rFonts w:ascii="Arial" w:hAnsi="Arial" w:cs="Arial"/>
          <w:sz w:val="20"/>
          <w:szCs w:val="20"/>
        </w:rPr>
        <w:t xml:space="preserve"> recent report by RIDG</w:t>
      </w:r>
      <w:r>
        <w:rPr>
          <w:rStyle w:val="FootnoteReference"/>
          <w:rFonts w:ascii="Arial" w:hAnsi="Arial" w:cs="Arial"/>
          <w:sz w:val="20"/>
          <w:szCs w:val="20"/>
        </w:rPr>
        <w:footnoteReference w:id="7"/>
      </w:r>
      <w:r w:rsidRPr="00792CFB">
        <w:rPr>
          <w:rFonts w:ascii="Arial" w:hAnsi="Arial" w:cs="Arial"/>
          <w:sz w:val="20"/>
          <w:szCs w:val="20"/>
        </w:rPr>
        <w:t xml:space="preserve"> showed that the </w:t>
      </w:r>
      <w:r w:rsidRPr="00B9659E">
        <w:rPr>
          <w:rFonts w:ascii="Arial" w:hAnsi="Arial" w:cs="Arial"/>
          <w:b/>
          <w:bCs/>
          <w:sz w:val="20"/>
          <w:szCs w:val="20"/>
        </w:rPr>
        <w:t>UK has among the highest locational charges in Europe</w:t>
      </w:r>
      <w:r w:rsidRPr="00792CFB">
        <w:rPr>
          <w:rFonts w:ascii="Arial" w:hAnsi="Arial" w:cs="Arial"/>
          <w:sz w:val="20"/>
          <w:szCs w:val="20"/>
        </w:rPr>
        <w:t>; indeed</w:t>
      </w:r>
      <w:r w:rsidR="00B9659E">
        <w:rPr>
          <w:rFonts w:ascii="Arial" w:hAnsi="Arial" w:cs="Arial"/>
          <w:sz w:val="20"/>
          <w:szCs w:val="20"/>
        </w:rPr>
        <w:t>,</w:t>
      </w:r>
      <w:r w:rsidRPr="00792CFB">
        <w:rPr>
          <w:rFonts w:ascii="Arial" w:hAnsi="Arial" w:cs="Arial"/>
          <w:sz w:val="20"/>
          <w:szCs w:val="20"/>
        </w:rPr>
        <w:t xml:space="preserve"> </w:t>
      </w:r>
      <w:r w:rsidRPr="00B9659E">
        <w:rPr>
          <w:rFonts w:ascii="Arial" w:hAnsi="Arial" w:cs="Arial"/>
          <w:b/>
          <w:bCs/>
          <w:sz w:val="20"/>
          <w:szCs w:val="20"/>
        </w:rPr>
        <w:t>one of the few countries that charges a locational element for transmission charges</w:t>
      </w:r>
      <w:r w:rsidRPr="00792CFB">
        <w:rPr>
          <w:rFonts w:ascii="Arial" w:hAnsi="Arial" w:cs="Arial"/>
          <w:sz w:val="20"/>
          <w:szCs w:val="20"/>
        </w:rPr>
        <w:t xml:space="preserve">. This is putting UK generators in Scotland at a disadvantage to European generators. </w:t>
      </w:r>
      <w:r w:rsidRPr="00B1569C">
        <w:rPr>
          <w:rFonts w:ascii="Arial" w:hAnsi="Arial" w:cs="Arial"/>
          <w:sz w:val="20"/>
          <w:szCs w:val="20"/>
        </w:rPr>
        <w:t xml:space="preserve">As we become more interconnected with Europe, the </w:t>
      </w:r>
      <w:proofErr w:type="spellStart"/>
      <w:r>
        <w:rPr>
          <w:rFonts w:ascii="Arial" w:hAnsi="Arial" w:cs="Arial"/>
          <w:sz w:val="20"/>
          <w:szCs w:val="20"/>
        </w:rPr>
        <w:t>TNUoS</w:t>
      </w:r>
      <w:proofErr w:type="spellEnd"/>
      <w:r>
        <w:rPr>
          <w:rFonts w:ascii="Arial" w:hAnsi="Arial" w:cs="Arial"/>
          <w:sz w:val="20"/>
          <w:szCs w:val="20"/>
        </w:rPr>
        <w:t xml:space="preserve"> methodology is incentivising the </w:t>
      </w:r>
      <w:r w:rsidRPr="00B1569C">
        <w:rPr>
          <w:rFonts w:ascii="Arial" w:hAnsi="Arial" w:cs="Arial"/>
          <w:sz w:val="20"/>
          <w:szCs w:val="20"/>
        </w:rPr>
        <w:t>system operator to import (potentially more carbon intensive) power over the interconnectors</w:t>
      </w:r>
      <w:r>
        <w:rPr>
          <w:rFonts w:ascii="Arial" w:hAnsi="Arial" w:cs="Arial"/>
          <w:sz w:val="20"/>
          <w:szCs w:val="20"/>
        </w:rPr>
        <w:t xml:space="preserve">, at the cost of lower deployment of renewable generation in </w:t>
      </w:r>
      <w:proofErr w:type="gramStart"/>
      <w:r>
        <w:rPr>
          <w:rFonts w:ascii="Arial" w:hAnsi="Arial" w:cs="Arial"/>
          <w:sz w:val="20"/>
          <w:szCs w:val="20"/>
        </w:rPr>
        <w:t>GB, and</w:t>
      </w:r>
      <w:proofErr w:type="gramEnd"/>
      <w:r>
        <w:rPr>
          <w:rFonts w:ascii="Arial" w:hAnsi="Arial" w:cs="Arial"/>
          <w:sz w:val="20"/>
          <w:szCs w:val="20"/>
        </w:rPr>
        <w:t xml:space="preserve"> increasing reliance on the interconnectors for security of supply</w:t>
      </w:r>
      <w:r w:rsidRPr="00B1569C">
        <w:rPr>
          <w:rFonts w:ascii="Arial" w:hAnsi="Arial" w:cs="Arial"/>
          <w:sz w:val="20"/>
          <w:szCs w:val="20"/>
        </w:rPr>
        <w:t>.</w:t>
      </w:r>
    </w:p>
    <w:p w14:paraId="28817839" w14:textId="77777777" w:rsidR="00D4450B" w:rsidRDefault="00D4450B" w:rsidP="00D4450B">
      <w:pPr>
        <w:pStyle w:val="NormalWeb"/>
        <w:spacing w:before="0" w:beforeAutospacing="0" w:after="0" w:afterAutospacing="0" w:line="276" w:lineRule="auto"/>
        <w:jc w:val="both"/>
        <w:rPr>
          <w:rFonts w:ascii="Arial" w:hAnsi="Arial" w:cs="Arial"/>
          <w:b/>
          <w:bCs/>
          <w:sz w:val="20"/>
          <w:szCs w:val="20"/>
        </w:rPr>
      </w:pPr>
    </w:p>
    <w:p w14:paraId="1AE1D58A" w14:textId="42FDEDDA" w:rsidR="00F166A6" w:rsidRDefault="00F166A6" w:rsidP="00AE275E">
      <w:pPr>
        <w:pStyle w:val="NormalWeb"/>
        <w:numPr>
          <w:ilvl w:val="1"/>
          <w:numId w:val="27"/>
        </w:numPr>
        <w:spacing w:before="0" w:beforeAutospacing="0" w:after="0" w:afterAutospacing="0" w:line="276" w:lineRule="auto"/>
        <w:jc w:val="both"/>
        <w:rPr>
          <w:rFonts w:ascii="Arial" w:hAnsi="Arial" w:cs="Arial"/>
          <w:b/>
          <w:bCs/>
          <w:sz w:val="20"/>
          <w:szCs w:val="20"/>
        </w:rPr>
      </w:pPr>
      <w:r>
        <w:rPr>
          <w:rFonts w:ascii="Arial" w:hAnsi="Arial" w:cs="Arial"/>
          <w:b/>
          <w:bCs/>
          <w:sz w:val="20"/>
          <w:szCs w:val="20"/>
        </w:rPr>
        <w:t>Stability and predictability</w:t>
      </w:r>
    </w:p>
    <w:p w14:paraId="0DCC4D55" w14:textId="77777777" w:rsidR="00354C21" w:rsidRDefault="00354C21" w:rsidP="002D7573">
      <w:pPr>
        <w:pStyle w:val="NormalWeb"/>
        <w:spacing w:before="0" w:beforeAutospacing="0" w:after="0" w:afterAutospacing="0" w:line="276" w:lineRule="auto"/>
        <w:jc w:val="both"/>
        <w:rPr>
          <w:rFonts w:ascii="Arial" w:eastAsiaTheme="minorHAnsi" w:hAnsi="Arial" w:cs="Arial"/>
          <w:sz w:val="20"/>
          <w:szCs w:val="20"/>
          <w:lang w:eastAsia="en-US"/>
        </w:rPr>
      </w:pPr>
    </w:p>
    <w:p w14:paraId="6AD37AE8" w14:textId="3D92ADED" w:rsidR="00C21AF4" w:rsidRPr="00354C21" w:rsidRDefault="00691AD5" w:rsidP="00C21AF4">
      <w:pPr>
        <w:pStyle w:val="NormalWeb"/>
        <w:spacing w:before="0" w:beforeAutospacing="0" w:after="0" w:afterAutospacing="0" w:line="276" w:lineRule="auto"/>
        <w:jc w:val="both"/>
        <w:rPr>
          <w:rFonts w:ascii="Arial" w:hAnsi="Arial" w:cs="Arial"/>
          <w:sz w:val="20"/>
          <w:szCs w:val="20"/>
        </w:rPr>
      </w:pPr>
      <w:proofErr w:type="spellStart"/>
      <w:r>
        <w:rPr>
          <w:rFonts w:ascii="Arial" w:eastAsiaTheme="minorHAnsi" w:hAnsi="Arial" w:cs="Arial"/>
          <w:sz w:val="20"/>
          <w:szCs w:val="20"/>
          <w:lang w:eastAsia="en-US"/>
        </w:rPr>
        <w:t>TNUoS</w:t>
      </w:r>
      <w:proofErr w:type="spellEnd"/>
      <w:r>
        <w:rPr>
          <w:rFonts w:ascii="Arial" w:eastAsiaTheme="minorHAnsi" w:hAnsi="Arial" w:cs="Arial"/>
          <w:sz w:val="20"/>
          <w:szCs w:val="20"/>
          <w:lang w:eastAsia="en-US"/>
        </w:rPr>
        <w:t xml:space="preserve"> charges are intended to provide an efficient price signal to generators. However, </w:t>
      </w:r>
      <w:proofErr w:type="spellStart"/>
      <w:r w:rsidR="002704CD">
        <w:rPr>
          <w:rFonts w:ascii="Arial" w:eastAsiaTheme="minorHAnsi" w:hAnsi="Arial" w:cs="Arial"/>
          <w:sz w:val="20"/>
          <w:szCs w:val="20"/>
          <w:lang w:eastAsia="en-US"/>
        </w:rPr>
        <w:t>TNUoS</w:t>
      </w:r>
      <w:proofErr w:type="spellEnd"/>
      <w:r w:rsidR="002704CD">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volatility </w:t>
      </w:r>
      <w:r w:rsidR="002704CD">
        <w:rPr>
          <w:rFonts w:ascii="Arial" w:eastAsiaTheme="minorHAnsi" w:hAnsi="Arial" w:cs="Arial"/>
          <w:sz w:val="20"/>
          <w:szCs w:val="20"/>
          <w:lang w:eastAsia="en-US"/>
        </w:rPr>
        <w:t>send</w:t>
      </w:r>
      <w:r w:rsidR="00294C5E">
        <w:rPr>
          <w:rFonts w:ascii="Arial" w:eastAsiaTheme="minorHAnsi" w:hAnsi="Arial" w:cs="Arial"/>
          <w:sz w:val="20"/>
          <w:szCs w:val="20"/>
          <w:lang w:eastAsia="en-US"/>
        </w:rPr>
        <w:t>s</w:t>
      </w:r>
      <w:r w:rsidR="002704CD">
        <w:rPr>
          <w:rFonts w:ascii="Arial" w:eastAsiaTheme="minorHAnsi" w:hAnsi="Arial" w:cs="Arial"/>
          <w:sz w:val="20"/>
          <w:szCs w:val="20"/>
          <w:lang w:eastAsia="en-US"/>
        </w:rPr>
        <w:t xml:space="preserve"> an inefficient signal for developers and investors, increasing the </w:t>
      </w:r>
      <w:r w:rsidR="00294C5E">
        <w:rPr>
          <w:rFonts w:ascii="Arial" w:eastAsiaTheme="minorHAnsi" w:hAnsi="Arial" w:cs="Arial"/>
          <w:sz w:val="20"/>
          <w:szCs w:val="20"/>
          <w:lang w:eastAsia="en-US"/>
        </w:rPr>
        <w:t xml:space="preserve">capital </w:t>
      </w:r>
      <w:r w:rsidR="002704CD">
        <w:rPr>
          <w:rFonts w:ascii="Arial" w:eastAsiaTheme="minorHAnsi" w:hAnsi="Arial" w:cs="Arial"/>
          <w:sz w:val="20"/>
          <w:szCs w:val="20"/>
          <w:lang w:eastAsia="en-US"/>
        </w:rPr>
        <w:t>cost of project</w:t>
      </w:r>
      <w:r w:rsidR="00354C21">
        <w:rPr>
          <w:rFonts w:ascii="Arial" w:eastAsiaTheme="minorHAnsi" w:hAnsi="Arial" w:cs="Arial"/>
          <w:sz w:val="20"/>
          <w:szCs w:val="20"/>
          <w:lang w:eastAsia="en-US"/>
        </w:rPr>
        <w:t>s</w:t>
      </w:r>
      <w:r w:rsidR="002704CD">
        <w:rPr>
          <w:rFonts w:ascii="Arial" w:eastAsiaTheme="minorHAnsi" w:hAnsi="Arial" w:cs="Arial"/>
          <w:sz w:val="20"/>
          <w:szCs w:val="20"/>
          <w:lang w:eastAsia="en-US"/>
        </w:rPr>
        <w:t xml:space="preserve"> </w:t>
      </w:r>
      <w:r w:rsidR="002704CD">
        <w:rPr>
          <w:rFonts w:ascii="Arial" w:hAnsi="Arial" w:cs="Arial"/>
          <w:sz w:val="20"/>
          <w:szCs w:val="20"/>
        </w:rPr>
        <w:t xml:space="preserve">that </w:t>
      </w:r>
      <w:r w:rsidR="002704CD" w:rsidRPr="00A13DDC">
        <w:rPr>
          <w:rFonts w:ascii="Arial" w:hAnsi="Arial" w:cs="Arial"/>
          <w:sz w:val="20"/>
          <w:szCs w:val="20"/>
        </w:rPr>
        <w:t xml:space="preserve">will ultimately </w:t>
      </w:r>
      <w:r w:rsidR="009E0B84">
        <w:rPr>
          <w:rFonts w:ascii="Arial" w:hAnsi="Arial" w:cs="Arial"/>
          <w:sz w:val="20"/>
          <w:szCs w:val="20"/>
        </w:rPr>
        <w:t>cost energy consumers more</w:t>
      </w:r>
      <w:r w:rsidR="002704CD" w:rsidRPr="00A13DDC">
        <w:rPr>
          <w:rFonts w:ascii="Arial" w:hAnsi="Arial" w:cs="Arial"/>
          <w:sz w:val="20"/>
          <w:szCs w:val="20"/>
        </w:rPr>
        <w:t>.</w:t>
      </w:r>
      <w:r w:rsidR="00354C21">
        <w:rPr>
          <w:rFonts w:ascii="Arial" w:hAnsi="Arial" w:cs="Arial"/>
          <w:sz w:val="20"/>
          <w:szCs w:val="20"/>
        </w:rPr>
        <w:t xml:space="preserve"> </w:t>
      </w:r>
      <w:r w:rsidR="00C21AF4">
        <w:rPr>
          <w:rFonts w:ascii="Arial" w:eastAsiaTheme="minorHAnsi" w:hAnsi="Arial" w:cs="Arial"/>
          <w:sz w:val="20"/>
          <w:szCs w:val="20"/>
          <w:lang w:eastAsia="en-US"/>
        </w:rPr>
        <w:t>According to a report</w:t>
      </w:r>
      <w:r w:rsidR="00C21AF4">
        <w:rPr>
          <w:rStyle w:val="FootnoteReference"/>
          <w:rFonts w:ascii="Arial" w:eastAsiaTheme="minorHAnsi" w:hAnsi="Arial" w:cs="Arial"/>
          <w:sz w:val="20"/>
          <w:szCs w:val="20"/>
          <w:lang w:eastAsia="en-US"/>
        </w:rPr>
        <w:footnoteReference w:id="8"/>
      </w:r>
      <w:r w:rsidR="00C21AF4">
        <w:rPr>
          <w:rFonts w:ascii="Arial" w:eastAsiaTheme="minorHAnsi" w:hAnsi="Arial" w:cs="Arial"/>
          <w:sz w:val="20"/>
          <w:szCs w:val="20"/>
          <w:lang w:eastAsia="en-US"/>
        </w:rPr>
        <w:t xml:space="preserve"> </w:t>
      </w:r>
      <w:r w:rsidR="00F346CC">
        <w:rPr>
          <w:rFonts w:ascii="Arial" w:eastAsiaTheme="minorHAnsi" w:hAnsi="Arial" w:cs="Arial"/>
          <w:sz w:val="20"/>
          <w:szCs w:val="20"/>
          <w:lang w:eastAsia="en-US"/>
        </w:rPr>
        <w:t>conducted</w:t>
      </w:r>
      <w:r w:rsidR="00C21AF4">
        <w:rPr>
          <w:rFonts w:ascii="Arial" w:eastAsiaTheme="minorHAnsi" w:hAnsi="Arial" w:cs="Arial"/>
          <w:sz w:val="20"/>
          <w:szCs w:val="20"/>
          <w:lang w:eastAsia="en-US"/>
        </w:rPr>
        <w:t xml:space="preserve"> by NERA consulting, consumers could </w:t>
      </w:r>
      <w:r w:rsidR="00C21AF4" w:rsidRPr="008B0852">
        <w:rPr>
          <w:rFonts w:ascii="Arial" w:eastAsiaTheme="minorHAnsi" w:hAnsi="Arial" w:cs="Arial"/>
          <w:sz w:val="20"/>
          <w:szCs w:val="20"/>
          <w:lang w:eastAsia="en-US"/>
        </w:rPr>
        <w:t>face</w:t>
      </w:r>
      <w:r w:rsidR="00231ABD" w:rsidRPr="008B0852">
        <w:rPr>
          <w:rFonts w:ascii="Arial" w:eastAsiaTheme="minorHAnsi" w:hAnsi="Arial" w:cs="Arial"/>
          <w:sz w:val="20"/>
          <w:szCs w:val="20"/>
          <w:lang w:eastAsia="en-US"/>
        </w:rPr>
        <w:t xml:space="preserve"> costs</w:t>
      </w:r>
      <w:r w:rsidR="00C21AF4" w:rsidRPr="008B0852">
        <w:rPr>
          <w:rFonts w:ascii="Arial" w:eastAsiaTheme="minorHAnsi" w:hAnsi="Arial" w:cs="Arial"/>
          <w:sz w:val="20"/>
          <w:szCs w:val="20"/>
          <w:lang w:eastAsia="en-US"/>
        </w:rPr>
        <w:t xml:space="preserve"> between</w:t>
      </w:r>
      <w:r w:rsidR="00C21AF4">
        <w:rPr>
          <w:rFonts w:ascii="Arial" w:eastAsiaTheme="minorHAnsi" w:hAnsi="Arial" w:cs="Arial"/>
          <w:sz w:val="20"/>
          <w:szCs w:val="20"/>
          <w:lang w:eastAsia="en-US"/>
        </w:rPr>
        <w:t xml:space="preserve"> £122 million and £391 million per year by 2030, if finance</w:t>
      </w:r>
      <w:r w:rsidR="009E0B84">
        <w:rPr>
          <w:rFonts w:ascii="Arial" w:eastAsiaTheme="minorHAnsi" w:hAnsi="Arial" w:cs="Arial"/>
          <w:sz w:val="20"/>
          <w:szCs w:val="20"/>
          <w:lang w:eastAsia="en-US"/>
        </w:rPr>
        <w:t xml:space="preserve"> risk</w:t>
      </w:r>
      <w:r w:rsidR="00C21AF4">
        <w:rPr>
          <w:rFonts w:ascii="Arial" w:eastAsiaTheme="minorHAnsi" w:hAnsi="Arial" w:cs="Arial"/>
          <w:sz w:val="20"/>
          <w:szCs w:val="20"/>
          <w:lang w:eastAsia="en-US"/>
        </w:rPr>
        <w:t xml:space="preserve"> for future wind project resulting from </w:t>
      </w:r>
      <w:proofErr w:type="spellStart"/>
      <w:r w:rsidR="00C21AF4">
        <w:rPr>
          <w:rFonts w:ascii="Arial" w:eastAsiaTheme="minorHAnsi" w:hAnsi="Arial" w:cs="Arial"/>
          <w:sz w:val="20"/>
          <w:szCs w:val="20"/>
          <w:lang w:eastAsia="en-US"/>
        </w:rPr>
        <w:t>TNUoS</w:t>
      </w:r>
      <w:proofErr w:type="spellEnd"/>
      <w:r w:rsidR="00C21AF4">
        <w:rPr>
          <w:rFonts w:ascii="Arial" w:eastAsiaTheme="minorHAnsi" w:hAnsi="Arial" w:cs="Arial"/>
          <w:sz w:val="20"/>
          <w:szCs w:val="20"/>
          <w:lang w:eastAsia="en-US"/>
        </w:rPr>
        <w:t xml:space="preserve"> is not addressed. </w:t>
      </w:r>
    </w:p>
    <w:p w14:paraId="27C17080" w14:textId="4E1EFE6E" w:rsidR="00354C21" w:rsidRDefault="00354C21" w:rsidP="002D7573">
      <w:pPr>
        <w:pStyle w:val="NormalWeb"/>
        <w:spacing w:before="0" w:beforeAutospacing="0" w:after="0" w:afterAutospacing="0" w:line="276" w:lineRule="auto"/>
        <w:jc w:val="both"/>
        <w:rPr>
          <w:rFonts w:ascii="Arial" w:hAnsi="Arial" w:cs="Arial"/>
          <w:sz w:val="20"/>
          <w:szCs w:val="20"/>
        </w:rPr>
      </w:pPr>
    </w:p>
    <w:p w14:paraId="60F96EEC" w14:textId="5F83FB3D" w:rsidR="00D608DA" w:rsidRDefault="00D608DA" w:rsidP="002D7573">
      <w:pPr>
        <w:pStyle w:val="NormalWeb"/>
        <w:spacing w:before="0" w:beforeAutospacing="0" w:after="0" w:afterAutospacing="0" w:line="276" w:lineRule="auto"/>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TNUoS</w:t>
      </w:r>
      <w:proofErr w:type="spellEnd"/>
      <w:r>
        <w:rPr>
          <w:rFonts w:ascii="Arial" w:eastAsiaTheme="minorHAnsi" w:hAnsi="Arial" w:cs="Arial"/>
          <w:sz w:val="20"/>
          <w:szCs w:val="20"/>
          <w:lang w:eastAsia="en-US"/>
        </w:rPr>
        <w:t xml:space="preserve"> charges represent a large proportion of the operational costs of renewable generation. While </w:t>
      </w:r>
      <w:proofErr w:type="spellStart"/>
      <w:r w:rsidR="00691AD5">
        <w:rPr>
          <w:rFonts w:ascii="Arial" w:eastAsiaTheme="minorHAnsi" w:hAnsi="Arial" w:cs="Arial"/>
          <w:sz w:val="20"/>
          <w:szCs w:val="20"/>
          <w:lang w:eastAsia="en-US"/>
        </w:rPr>
        <w:t>TNUo</w:t>
      </w:r>
      <w:r w:rsidR="009379AD">
        <w:rPr>
          <w:rFonts w:ascii="Arial" w:eastAsiaTheme="minorHAnsi" w:hAnsi="Arial" w:cs="Arial"/>
          <w:sz w:val="20"/>
          <w:szCs w:val="20"/>
          <w:lang w:eastAsia="en-US"/>
        </w:rPr>
        <w:t>S</w:t>
      </w:r>
      <w:proofErr w:type="spellEnd"/>
      <w:r w:rsidR="00691AD5">
        <w:rPr>
          <w:rFonts w:ascii="Arial" w:eastAsiaTheme="minorHAnsi" w:hAnsi="Arial" w:cs="Arial"/>
          <w:sz w:val="20"/>
          <w:szCs w:val="20"/>
          <w:lang w:eastAsia="en-US"/>
        </w:rPr>
        <w:t xml:space="preserve"> charges are only 2% of </w:t>
      </w:r>
      <w:r w:rsidR="00691AD5" w:rsidRPr="00691AD5">
        <w:rPr>
          <w:rFonts w:ascii="Arial" w:eastAsiaTheme="minorHAnsi" w:hAnsi="Arial" w:cs="Arial"/>
          <w:sz w:val="20"/>
          <w:szCs w:val="20"/>
          <w:lang w:eastAsia="en-US"/>
        </w:rPr>
        <w:t>the operating costs of a combined cycle gas plant</w:t>
      </w:r>
      <w:r w:rsidR="00691AD5">
        <w:rPr>
          <w:rFonts w:ascii="Arial" w:eastAsiaTheme="minorHAnsi" w:hAnsi="Arial" w:cs="Arial"/>
          <w:sz w:val="20"/>
          <w:szCs w:val="20"/>
          <w:lang w:eastAsia="en-US"/>
        </w:rPr>
        <w:t>, they are around 30% of the operational cost for renewable generation</w:t>
      </w:r>
      <w:r w:rsidR="009379AD">
        <w:rPr>
          <w:rStyle w:val="FootnoteReference"/>
          <w:rFonts w:ascii="Arial" w:eastAsiaTheme="minorHAnsi" w:hAnsi="Arial" w:cs="Arial"/>
          <w:sz w:val="20"/>
          <w:szCs w:val="20"/>
          <w:lang w:eastAsia="en-US"/>
        </w:rPr>
        <w:footnoteReference w:id="9"/>
      </w:r>
      <w:r w:rsidR="00691AD5">
        <w:rPr>
          <w:rFonts w:ascii="Arial" w:eastAsiaTheme="minorHAnsi" w:hAnsi="Arial" w:cs="Arial"/>
          <w:sz w:val="20"/>
          <w:szCs w:val="20"/>
          <w:lang w:eastAsia="en-US"/>
        </w:rPr>
        <w:t xml:space="preserve">. </w:t>
      </w:r>
      <w:r w:rsidR="00F346CC">
        <w:rPr>
          <w:rFonts w:ascii="Arial" w:eastAsiaTheme="minorHAnsi" w:hAnsi="Arial" w:cs="Arial"/>
          <w:sz w:val="20"/>
          <w:szCs w:val="20"/>
          <w:lang w:eastAsia="en-US"/>
        </w:rPr>
        <w:t>Hence</w:t>
      </w:r>
      <w:r w:rsidR="009379AD">
        <w:rPr>
          <w:rFonts w:ascii="Arial" w:eastAsiaTheme="minorHAnsi" w:hAnsi="Arial" w:cs="Arial"/>
          <w:sz w:val="20"/>
          <w:szCs w:val="20"/>
          <w:lang w:eastAsia="en-US"/>
        </w:rPr>
        <w:t xml:space="preserve">, </w:t>
      </w:r>
      <w:r w:rsidR="00354C21">
        <w:rPr>
          <w:rFonts w:ascii="Arial" w:eastAsiaTheme="minorHAnsi" w:hAnsi="Arial" w:cs="Arial"/>
          <w:sz w:val="20"/>
          <w:szCs w:val="20"/>
          <w:lang w:eastAsia="en-US"/>
        </w:rPr>
        <w:t xml:space="preserve">volatility </w:t>
      </w:r>
      <w:r w:rsidR="004C35BF">
        <w:rPr>
          <w:rFonts w:ascii="Arial" w:eastAsiaTheme="minorHAnsi" w:hAnsi="Arial" w:cs="Arial"/>
          <w:sz w:val="20"/>
          <w:szCs w:val="20"/>
          <w:lang w:eastAsia="en-US"/>
        </w:rPr>
        <w:t>is not a minor</w:t>
      </w:r>
      <w:r w:rsidR="00043BBB">
        <w:rPr>
          <w:rFonts w:ascii="Arial" w:eastAsiaTheme="minorHAnsi" w:hAnsi="Arial" w:cs="Arial"/>
          <w:sz w:val="20"/>
          <w:szCs w:val="20"/>
          <w:lang w:eastAsia="en-US"/>
        </w:rPr>
        <w:t xml:space="preserve"> risk </w:t>
      </w:r>
      <w:r w:rsidR="00F346CC">
        <w:rPr>
          <w:rFonts w:ascii="Arial" w:eastAsiaTheme="minorHAnsi" w:hAnsi="Arial" w:cs="Arial"/>
          <w:sz w:val="20"/>
          <w:szCs w:val="20"/>
          <w:lang w:eastAsia="en-US"/>
        </w:rPr>
        <w:t>for renewable generators.</w:t>
      </w:r>
    </w:p>
    <w:p w14:paraId="34AC5D85" w14:textId="06B0C35F" w:rsidR="00901851" w:rsidRPr="00901851" w:rsidRDefault="00901851" w:rsidP="00901851">
      <w:pPr>
        <w:pStyle w:val="NormalWeb"/>
        <w:spacing w:after="0"/>
        <w:jc w:val="both"/>
        <w:rPr>
          <w:rFonts w:ascii="Arial" w:eastAsiaTheme="minorHAnsi" w:hAnsi="Arial" w:cs="Arial"/>
          <w:sz w:val="20"/>
          <w:szCs w:val="20"/>
          <w:lang w:eastAsia="en-US"/>
        </w:rPr>
      </w:pPr>
      <w:r w:rsidRPr="00901851">
        <w:rPr>
          <w:rFonts w:ascii="Arial" w:eastAsiaTheme="minorHAnsi" w:hAnsi="Arial" w:cs="Arial"/>
          <w:sz w:val="20"/>
          <w:szCs w:val="20"/>
          <w:lang w:eastAsia="en-US"/>
        </w:rPr>
        <w:t>In research</w:t>
      </w:r>
      <w:r>
        <w:rPr>
          <w:rStyle w:val="FootnoteReference"/>
          <w:rFonts w:ascii="Arial" w:eastAsiaTheme="minorHAnsi" w:hAnsi="Arial" w:cs="Arial"/>
          <w:sz w:val="20"/>
          <w:szCs w:val="20"/>
          <w:lang w:eastAsia="en-US"/>
        </w:rPr>
        <w:footnoteReference w:id="10"/>
      </w:r>
      <w:r w:rsidRPr="00901851">
        <w:rPr>
          <w:rFonts w:ascii="Arial" w:eastAsiaTheme="minorHAnsi" w:hAnsi="Arial" w:cs="Arial"/>
          <w:sz w:val="20"/>
          <w:szCs w:val="20"/>
          <w:lang w:eastAsia="en-US"/>
        </w:rPr>
        <w:t xml:space="preserve"> conducted by SSEN Transmission they found:</w:t>
      </w:r>
    </w:p>
    <w:p w14:paraId="0F36FC8E" w14:textId="6A961858" w:rsidR="00901851" w:rsidRDefault="00901851" w:rsidP="004C35BF">
      <w:pPr>
        <w:pStyle w:val="NormalWeb"/>
        <w:numPr>
          <w:ilvl w:val="0"/>
          <w:numId w:val="33"/>
        </w:numPr>
        <w:spacing w:after="0" w:line="276" w:lineRule="auto"/>
        <w:jc w:val="both"/>
        <w:rPr>
          <w:rFonts w:ascii="Arial" w:eastAsiaTheme="minorHAnsi" w:hAnsi="Arial" w:cs="Arial"/>
          <w:sz w:val="20"/>
          <w:szCs w:val="20"/>
          <w:lang w:eastAsia="en-US"/>
        </w:rPr>
      </w:pPr>
      <w:r w:rsidRPr="00901851">
        <w:rPr>
          <w:rFonts w:ascii="Arial" w:eastAsiaTheme="minorHAnsi" w:hAnsi="Arial" w:cs="Arial"/>
          <w:sz w:val="20"/>
          <w:szCs w:val="20"/>
          <w:lang w:eastAsia="en-US"/>
        </w:rPr>
        <w:t xml:space="preserve">Generators see swings in their </w:t>
      </w:r>
      <w:proofErr w:type="spellStart"/>
      <w:r w:rsidRPr="00901851">
        <w:rPr>
          <w:rFonts w:ascii="Arial" w:eastAsiaTheme="minorHAnsi" w:hAnsi="Arial" w:cs="Arial"/>
          <w:sz w:val="20"/>
          <w:szCs w:val="20"/>
          <w:lang w:eastAsia="en-US"/>
        </w:rPr>
        <w:t>TNUoS</w:t>
      </w:r>
      <w:proofErr w:type="spellEnd"/>
      <w:r w:rsidRPr="00901851">
        <w:rPr>
          <w:rFonts w:ascii="Arial" w:eastAsiaTheme="minorHAnsi" w:hAnsi="Arial" w:cs="Arial"/>
          <w:sz w:val="20"/>
          <w:szCs w:val="20"/>
          <w:lang w:eastAsia="en-US"/>
        </w:rPr>
        <w:t xml:space="preserve"> charges</w:t>
      </w:r>
      <w:r w:rsidR="00294C5E">
        <w:rPr>
          <w:rFonts w:ascii="Arial" w:eastAsiaTheme="minorHAnsi" w:hAnsi="Arial" w:cs="Arial"/>
          <w:sz w:val="20"/>
          <w:szCs w:val="20"/>
          <w:lang w:eastAsia="en-US"/>
        </w:rPr>
        <w:t>,</w:t>
      </w:r>
      <w:r w:rsidRPr="00901851">
        <w:rPr>
          <w:rFonts w:ascii="Arial" w:eastAsiaTheme="minorHAnsi" w:hAnsi="Arial" w:cs="Arial"/>
          <w:sz w:val="20"/>
          <w:szCs w:val="20"/>
          <w:lang w:eastAsia="en-US"/>
        </w:rPr>
        <w:t xml:space="preserve"> typically over 50% up or down each year. </w:t>
      </w:r>
    </w:p>
    <w:p w14:paraId="53CEB003" w14:textId="31323488" w:rsidR="00901851" w:rsidRDefault="00901851" w:rsidP="004C35BF">
      <w:pPr>
        <w:pStyle w:val="NormalWeb"/>
        <w:numPr>
          <w:ilvl w:val="0"/>
          <w:numId w:val="33"/>
        </w:numPr>
        <w:spacing w:after="0" w:line="276" w:lineRule="auto"/>
        <w:jc w:val="both"/>
        <w:rPr>
          <w:rFonts w:ascii="Arial" w:eastAsiaTheme="minorHAnsi" w:hAnsi="Arial" w:cs="Arial"/>
          <w:sz w:val="20"/>
          <w:szCs w:val="20"/>
          <w:lang w:eastAsia="en-US"/>
        </w:rPr>
      </w:pPr>
      <w:r w:rsidRPr="00901851">
        <w:rPr>
          <w:rFonts w:ascii="Arial" w:eastAsiaTheme="minorHAnsi" w:hAnsi="Arial" w:cs="Arial"/>
          <w:sz w:val="20"/>
          <w:szCs w:val="20"/>
          <w:lang w:eastAsia="en-US"/>
        </w:rPr>
        <w:t>Charges are unpredictable – Using National Grid’s own data, the average forecast error under-estimated the actual charge by one third.</w:t>
      </w:r>
    </w:p>
    <w:p w14:paraId="2BC3370A" w14:textId="68F7BDE1" w:rsidR="002D7573" w:rsidRDefault="00901851" w:rsidP="00901851">
      <w:pPr>
        <w:pStyle w:val="NormalWeb"/>
        <w:spacing w:before="0" w:beforeAutospacing="0" w:after="0" w:afterAutospacing="0" w:line="276" w:lineRule="auto"/>
        <w:jc w:val="both"/>
        <w:rPr>
          <w:rFonts w:ascii="Arial" w:eastAsiaTheme="minorHAnsi" w:hAnsi="Arial" w:cs="Arial"/>
          <w:sz w:val="20"/>
          <w:szCs w:val="20"/>
          <w:lang w:eastAsia="en-US"/>
        </w:rPr>
      </w:pPr>
      <w:r w:rsidRPr="00901851">
        <w:rPr>
          <w:rFonts w:ascii="Arial" w:eastAsiaTheme="minorHAnsi" w:hAnsi="Arial" w:cs="Arial"/>
          <w:sz w:val="20"/>
          <w:szCs w:val="20"/>
          <w:lang w:eastAsia="en-US"/>
        </w:rPr>
        <w:t xml:space="preserve">This volatility is in sharp contrast to the total revenue allowed of the TOs that </w:t>
      </w:r>
      <w:proofErr w:type="spellStart"/>
      <w:r w:rsidRPr="00901851">
        <w:rPr>
          <w:rFonts w:ascii="Arial" w:eastAsiaTheme="minorHAnsi" w:hAnsi="Arial" w:cs="Arial"/>
          <w:sz w:val="20"/>
          <w:szCs w:val="20"/>
          <w:lang w:eastAsia="en-US"/>
        </w:rPr>
        <w:t>TNUoS</w:t>
      </w:r>
      <w:proofErr w:type="spellEnd"/>
      <w:r w:rsidRPr="00901851">
        <w:rPr>
          <w:rFonts w:ascii="Arial" w:eastAsiaTheme="minorHAnsi" w:hAnsi="Arial" w:cs="Arial"/>
          <w:sz w:val="20"/>
          <w:szCs w:val="20"/>
          <w:lang w:eastAsia="en-US"/>
        </w:rPr>
        <w:t xml:space="preserve"> charges are set to recover. The cumulative allowed revenue of NGET, SPEN and SSEN Transmission has been stable, within 5% of £2.5 billion, over the past five years. Investors need cost certainty and clear, forecastable </w:t>
      </w:r>
      <w:proofErr w:type="spellStart"/>
      <w:r w:rsidRPr="00901851">
        <w:rPr>
          <w:rFonts w:ascii="Arial" w:eastAsiaTheme="minorHAnsi" w:hAnsi="Arial" w:cs="Arial"/>
          <w:sz w:val="20"/>
          <w:szCs w:val="20"/>
          <w:lang w:eastAsia="en-US"/>
        </w:rPr>
        <w:t>TNUoS</w:t>
      </w:r>
      <w:proofErr w:type="spellEnd"/>
      <w:r w:rsidRPr="00901851">
        <w:rPr>
          <w:rFonts w:ascii="Arial" w:eastAsiaTheme="minorHAnsi" w:hAnsi="Arial" w:cs="Arial"/>
          <w:sz w:val="20"/>
          <w:szCs w:val="20"/>
          <w:lang w:eastAsia="en-US"/>
        </w:rPr>
        <w:t xml:space="preserve"> when planning and delivering long-term investments at lowest cost of the UK consumer. We also note that price volatility is a significant challenge for operational sites, where projects have been built and financed at a specific point in time based on the best view of </w:t>
      </w:r>
      <w:proofErr w:type="spellStart"/>
      <w:r w:rsidRPr="00901851">
        <w:rPr>
          <w:rFonts w:ascii="Arial" w:eastAsiaTheme="minorHAnsi" w:hAnsi="Arial" w:cs="Arial"/>
          <w:sz w:val="20"/>
          <w:szCs w:val="20"/>
          <w:lang w:eastAsia="en-US"/>
        </w:rPr>
        <w:t>TNUoS</w:t>
      </w:r>
      <w:proofErr w:type="spellEnd"/>
      <w:r w:rsidRPr="00901851">
        <w:rPr>
          <w:rFonts w:ascii="Arial" w:eastAsiaTheme="minorHAnsi" w:hAnsi="Arial" w:cs="Arial"/>
          <w:sz w:val="20"/>
          <w:szCs w:val="20"/>
          <w:lang w:eastAsia="en-US"/>
        </w:rPr>
        <w:t xml:space="preserve">. Once final investment decision has been taken, these projects cannot react to changes in locational signals and therefore volatility in </w:t>
      </w:r>
      <w:proofErr w:type="spellStart"/>
      <w:r w:rsidRPr="00901851">
        <w:rPr>
          <w:rFonts w:ascii="Arial" w:eastAsiaTheme="minorHAnsi" w:hAnsi="Arial" w:cs="Arial"/>
          <w:sz w:val="20"/>
          <w:szCs w:val="20"/>
          <w:lang w:eastAsia="en-US"/>
        </w:rPr>
        <w:t>TNUoS</w:t>
      </w:r>
      <w:proofErr w:type="spellEnd"/>
      <w:r w:rsidRPr="00901851">
        <w:rPr>
          <w:rFonts w:ascii="Arial" w:eastAsiaTheme="minorHAnsi" w:hAnsi="Arial" w:cs="Arial"/>
          <w:sz w:val="20"/>
          <w:szCs w:val="20"/>
          <w:lang w:eastAsia="en-US"/>
        </w:rPr>
        <w:t xml:space="preserve"> costs simply adds risk to the projects. Volatility and unpredictability are not unique to Scotland but experienced by all generators regardless of technology or location. This uncertainty leads to increasing risk margins for developers, ultimately increasing costs that will be passed onto consumers.</w:t>
      </w:r>
    </w:p>
    <w:p w14:paraId="033C6271" w14:textId="3E994CA3" w:rsidR="00901851" w:rsidRDefault="00901851" w:rsidP="00901851">
      <w:pPr>
        <w:pStyle w:val="NormalWeb"/>
        <w:spacing w:before="0" w:beforeAutospacing="0" w:after="0" w:afterAutospacing="0" w:line="276" w:lineRule="auto"/>
        <w:jc w:val="both"/>
        <w:rPr>
          <w:rFonts w:ascii="Arial" w:eastAsiaTheme="minorHAnsi" w:hAnsi="Arial" w:cs="Arial"/>
          <w:sz w:val="20"/>
          <w:szCs w:val="20"/>
          <w:lang w:eastAsia="en-US"/>
        </w:rPr>
      </w:pPr>
    </w:p>
    <w:p w14:paraId="704BB083" w14:textId="64C27CBC" w:rsidR="00AE7AD1" w:rsidRDefault="004107E1" w:rsidP="004107E1">
      <w:pPr>
        <w:pStyle w:val="NormalWeb"/>
        <w:spacing w:before="0" w:beforeAutospacing="0" w:after="0" w:afterAutospacing="0" w:line="276" w:lineRule="auto"/>
        <w:jc w:val="both"/>
        <w:rPr>
          <w:rFonts w:ascii="Arial" w:hAnsi="Arial" w:cs="Arial"/>
          <w:sz w:val="20"/>
          <w:szCs w:val="20"/>
        </w:rPr>
      </w:pPr>
      <w:r>
        <w:rPr>
          <w:rFonts w:ascii="Arial" w:eastAsiaTheme="minorHAnsi" w:hAnsi="Arial" w:cs="Arial"/>
          <w:sz w:val="20"/>
          <w:szCs w:val="20"/>
          <w:lang w:eastAsia="en-US"/>
        </w:rPr>
        <w:t>The issues mentioned pre</w:t>
      </w:r>
      <w:r w:rsidR="00866C8C">
        <w:rPr>
          <w:rFonts w:ascii="Arial" w:eastAsiaTheme="minorHAnsi" w:hAnsi="Arial" w:cs="Arial"/>
          <w:sz w:val="20"/>
          <w:szCs w:val="20"/>
          <w:lang w:eastAsia="en-US"/>
        </w:rPr>
        <w:t>v</w:t>
      </w:r>
      <w:r>
        <w:rPr>
          <w:rFonts w:ascii="Arial" w:eastAsiaTheme="minorHAnsi" w:hAnsi="Arial" w:cs="Arial"/>
          <w:sz w:val="20"/>
          <w:szCs w:val="20"/>
          <w:lang w:eastAsia="en-US"/>
        </w:rPr>
        <w:t xml:space="preserve">iously become particularly important </w:t>
      </w:r>
      <w:r w:rsidRPr="00A13DDC">
        <w:rPr>
          <w:rFonts w:ascii="Arial" w:hAnsi="Arial" w:cs="Arial"/>
          <w:sz w:val="20"/>
          <w:szCs w:val="20"/>
        </w:rPr>
        <w:t>given the scale of investment in wind generation expected to meet the</w:t>
      </w:r>
      <w:r>
        <w:rPr>
          <w:rFonts w:ascii="Arial" w:hAnsi="Arial" w:cs="Arial"/>
          <w:sz w:val="20"/>
          <w:szCs w:val="20"/>
        </w:rPr>
        <w:t xml:space="preserve"> 40GW </w:t>
      </w:r>
      <w:r w:rsidR="00E709F0">
        <w:rPr>
          <w:rFonts w:ascii="Arial" w:hAnsi="Arial" w:cs="Arial"/>
          <w:sz w:val="20"/>
          <w:szCs w:val="20"/>
        </w:rPr>
        <w:t xml:space="preserve">of </w:t>
      </w:r>
      <w:r>
        <w:rPr>
          <w:rFonts w:ascii="Arial" w:hAnsi="Arial" w:cs="Arial"/>
          <w:sz w:val="20"/>
          <w:szCs w:val="20"/>
        </w:rPr>
        <w:t xml:space="preserve">offshore wind target by </w:t>
      </w:r>
      <w:r w:rsidRPr="00C22CA1">
        <w:rPr>
          <w:rFonts w:ascii="Arial" w:hAnsi="Arial" w:cs="Arial"/>
          <w:sz w:val="20"/>
          <w:szCs w:val="20"/>
        </w:rPr>
        <w:t xml:space="preserve">2030. </w:t>
      </w:r>
      <w:r w:rsidR="00AE7AD1" w:rsidRPr="00C22CA1">
        <w:rPr>
          <w:rFonts w:ascii="Arial" w:hAnsi="Arial" w:cs="Arial"/>
          <w:sz w:val="20"/>
          <w:szCs w:val="20"/>
        </w:rPr>
        <w:t xml:space="preserve">Offshore wind not only faces high swings associated with the locational factor in the </w:t>
      </w:r>
      <w:proofErr w:type="spellStart"/>
      <w:r w:rsidR="00AE7AD1" w:rsidRPr="00C22CA1">
        <w:rPr>
          <w:rFonts w:ascii="Arial" w:hAnsi="Arial" w:cs="Arial"/>
          <w:sz w:val="20"/>
          <w:szCs w:val="20"/>
        </w:rPr>
        <w:t>TNUoS</w:t>
      </w:r>
      <w:proofErr w:type="spellEnd"/>
      <w:r w:rsidR="00AE7AD1" w:rsidRPr="00C22CA1">
        <w:rPr>
          <w:rFonts w:ascii="Arial" w:hAnsi="Arial" w:cs="Arial"/>
          <w:sz w:val="20"/>
          <w:szCs w:val="20"/>
        </w:rPr>
        <w:t xml:space="preserve"> methodology, </w:t>
      </w:r>
      <w:r w:rsidR="00294C5E" w:rsidRPr="00C22CA1">
        <w:rPr>
          <w:rFonts w:ascii="Arial" w:hAnsi="Arial" w:cs="Arial"/>
          <w:sz w:val="20"/>
          <w:szCs w:val="20"/>
        </w:rPr>
        <w:t>but</w:t>
      </w:r>
      <w:r w:rsidR="00AE7AD1" w:rsidRPr="00C22CA1">
        <w:rPr>
          <w:rFonts w:ascii="Arial" w:hAnsi="Arial" w:cs="Arial"/>
          <w:sz w:val="20"/>
          <w:szCs w:val="20"/>
        </w:rPr>
        <w:t xml:space="preserve"> also faces high </w:t>
      </w:r>
      <w:r w:rsidR="007009B3" w:rsidRPr="00C22CA1">
        <w:rPr>
          <w:rFonts w:ascii="Arial" w:hAnsi="Arial" w:cs="Arial"/>
          <w:sz w:val="20"/>
          <w:szCs w:val="20"/>
        </w:rPr>
        <w:t xml:space="preserve">costs </w:t>
      </w:r>
      <w:r w:rsidR="00AE7AD1" w:rsidRPr="00C22CA1">
        <w:rPr>
          <w:rFonts w:ascii="Arial" w:hAnsi="Arial" w:cs="Arial"/>
          <w:sz w:val="20"/>
          <w:szCs w:val="20"/>
        </w:rPr>
        <w:t>associated with the local circuit tariff</w:t>
      </w:r>
      <w:r w:rsidR="00C563CE" w:rsidRPr="00C22CA1">
        <w:rPr>
          <w:rFonts w:ascii="Arial" w:hAnsi="Arial" w:cs="Arial"/>
          <w:sz w:val="20"/>
          <w:szCs w:val="20"/>
        </w:rPr>
        <w:t>, which today can be up to 48 £/KW</w:t>
      </w:r>
      <w:r w:rsidR="00753D40">
        <w:rPr>
          <w:rFonts w:ascii="Arial" w:hAnsi="Arial" w:cs="Arial"/>
          <w:sz w:val="20"/>
          <w:szCs w:val="20"/>
        </w:rPr>
        <w:t>.</w:t>
      </w:r>
    </w:p>
    <w:p w14:paraId="25B13F77" w14:textId="77777777" w:rsidR="00AE7AD1" w:rsidRDefault="00AE7AD1" w:rsidP="004107E1">
      <w:pPr>
        <w:pStyle w:val="NormalWeb"/>
        <w:spacing w:before="0" w:beforeAutospacing="0" w:after="0" w:afterAutospacing="0" w:line="276" w:lineRule="auto"/>
        <w:jc w:val="both"/>
        <w:rPr>
          <w:rFonts w:ascii="Arial" w:hAnsi="Arial" w:cs="Arial"/>
          <w:sz w:val="20"/>
          <w:szCs w:val="20"/>
        </w:rPr>
      </w:pPr>
    </w:p>
    <w:p w14:paraId="67472DF8" w14:textId="7FE83D61" w:rsidR="004107E1" w:rsidRPr="004107E1" w:rsidRDefault="006B2604" w:rsidP="004107E1">
      <w:pPr>
        <w:pStyle w:val="NormalWeb"/>
        <w:spacing w:before="0" w:beforeAutospacing="0" w:after="0" w:afterAutospacing="0" w:line="276" w:lineRule="auto"/>
        <w:jc w:val="both"/>
        <w:rPr>
          <w:rFonts w:ascii="Arial" w:hAnsi="Arial" w:cs="Arial"/>
          <w:sz w:val="20"/>
          <w:szCs w:val="20"/>
        </w:rPr>
      </w:pPr>
      <w:r>
        <w:rPr>
          <w:rFonts w:ascii="Arial" w:hAnsi="Arial" w:cs="Arial"/>
          <w:sz w:val="20"/>
          <w:szCs w:val="20"/>
        </w:rPr>
        <w:t>According to</w:t>
      </w:r>
      <w:r w:rsidR="00C563CE">
        <w:rPr>
          <w:rFonts w:ascii="Arial" w:hAnsi="Arial" w:cs="Arial"/>
          <w:sz w:val="20"/>
          <w:szCs w:val="20"/>
        </w:rPr>
        <w:t xml:space="preserve"> another </w:t>
      </w:r>
      <w:r w:rsidR="005B6787">
        <w:rPr>
          <w:rFonts w:ascii="Arial" w:hAnsi="Arial" w:cs="Arial"/>
          <w:sz w:val="20"/>
          <w:szCs w:val="20"/>
        </w:rPr>
        <w:t>research</w:t>
      </w:r>
      <w:r w:rsidR="005B6787">
        <w:rPr>
          <w:rStyle w:val="FootnoteReference"/>
          <w:rFonts w:ascii="Arial" w:hAnsi="Arial" w:cs="Arial"/>
          <w:sz w:val="20"/>
          <w:szCs w:val="20"/>
        </w:rPr>
        <w:footnoteReference w:id="11"/>
      </w:r>
      <w:r w:rsidR="005B6787">
        <w:rPr>
          <w:rFonts w:ascii="Arial" w:hAnsi="Arial" w:cs="Arial"/>
          <w:sz w:val="20"/>
          <w:szCs w:val="20"/>
        </w:rPr>
        <w:t xml:space="preserve"> conducted by</w:t>
      </w:r>
      <w:r>
        <w:rPr>
          <w:rFonts w:ascii="Arial" w:hAnsi="Arial" w:cs="Arial"/>
          <w:sz w:val="20"/>
          <w:szCs w:val="20"/>
        </w:rPr>
        <w:t xml:space="preserve"> SSEN</w:t>
      </w:r>
      <w:r w:rsidR="00C563CE">
        <w:rPr>
          <w:rFonts w:ascii="Arial" w:hAnsi="Arial" w:cs="Arial"/>
          <w:sz w:val="20"/>
          <w:szCs w:val="20"/>
        </w:rPr>
        <w:t>, they found that:</w:t>
      </w:r>
    </w:p>
    <w:p w14:paraId="2280E51D" w14:textId="77777777" w:rsidR="004107E1" w:rsidRDefault="004107E1" w:rsidP="004107E1">
      <w:pPr>
        <w:pStyle w:val="NormalWeb"/>
        <w:spacing w:before="0" w:beforeAutospacing="0" w:after="0" w:afterAutospacing="0" w:line="276" w:lineRule="auto"/>
        <w:jc w:val="both"/>
        <w:rPr>
          <w:rFonts w:ascii="Arial" w:eastAsiaTheme="minorHAnsi" w:hAnsi="Arial" w:cs="Arial"/>
          <w:sz w:val="20"/>
          <w:szCs w:val="20"/>
          <w:lang w:eastAsia="en-US"/>
        </w:rPr>
      </w:pPr>
    </w:p>
    <w:p w14:paraId="3F667A58" w14:textId="35260580" w:rsidR="004107E1" w:rsidRDefault="004107E1" w:rsidP="004107E1">
      <w:pPr>
        <w:pStyle w:val="NormalWeb"/>
        <w:numPr>
          <w:ilvl w:val="0"/>
          <w:numId w:val="34"/>
        </w:numPr>
        <w:spacing w:before="0" w:beforeAutospacing="0" w:after="0" w:afterAutospacing="0"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T</w:t>
      </w:r>
      <w:r w:rsidRPr="004107E1">
        <w:rPr>
          <w:rFonts w:ascii="Arial" w:eastAsiaTheme="minorHAnsi" w:hAnsi="Arial" w:cs="Arial"/>
          <w:sz w:val="20"/>
          <w:szCs w:val="20"/>
          <w:lang w:eastAsia="en-US"/>
        </w:rPr>
        <w:t>here is no apparent value in the locational ‘signal’ to</w:t>
      </w:r>
      <w:r>
        <w:rPr>
          <w:rFonts w:ascii="Arial" w:eastAsiaTheme="minorHAnsi" w:hAnsi="Arial" w:cs="Arial"/>
          <w:sz w:val="20"/>
          <w:szCs w:val="20"/>
          <w:lang w:eastAsia="en-US"/>
        </w:rPr>
        <w:t xml:space="preserve"> </w:t>
      </w:r>
      <w:r w:rsidRPr="004107E1">
        <w:rPr>
          <w:rFonts w:ascii="Arial" w:eastAsiaTheme="minorHAnsi" w:hAnsi="Arial" w:cs="Arial"/>
          <w:sz w:val="20"/>
          <w:szCs w:val="20"/>
          <w:lang w:eastAsia="en-US"/>
        </w:rPr>
        <w:t>offshore wind farm developers</w:t>
      </w:r>
    </w:p>
    <w:p w14:paraId="3B462755" w14:textId="66139BBF" w:rsidR="004107E1" w:rsidRPr="004107E1" w:rsidRDefault="004107E1" w:rsidP="004107E1">
      <w:pPr>
        <w:pStyle w:val="NormalWeb"/>
        <w:numPr>
          <w:ilvl w:val="0"/>
          <w:numId w:val="34"/>
        </w:numPr>
        <w:spacing w:before="0" w:beforeAutospacing="0" w:after="0" w:afterAutospacing="0" w:line="276" w:lineRule="auto"/>
        <w:jc w:val="both"/>
        <w:rPr>
          <w:rFonts w:ascii="Arial" w:eastAsiaTheme="minorHAnsi" w:hAnsi="Arial" w:cs="Arial"/>
          <w:sz w:val="20"/>
          <w:szCs w:val="20"/>
          <w:lang w:eastAsia="en-US"/>
        </w:rPr>
      </w:pPr>
      <w:r w:rsidRPr="004107E1">
        <w:rPr>
          <w:rFonts w:ascii="Arial" w:eastAsiaTheme="minorHAnsi" w:hAnsi="Arial" w:cs="Arial"/>
          <w:sz w:val="20"/>
          <w:szCs w:val="20"/>
          <w:lang w:eastAsia="en-US"/>
        </w:rPr>
        <w:t xml:space="preserve">The </w:t>
      </w:r>
      <w:r w:rsidR="009E0B84" w:rsidRPr="004107E1">
        <w:rPr>
          <w:rFonts w:ascii="Arial" w:eastAsiaTheme="minorHAnsi" w:hAnsi="Arial" w:cs="Arial"/>
          <w:sz w:val="20"/>
          <w:szCs w:val="20"/>
          <w:lang w:eastAsia="en-US"/>
        </w:rPr>
        <w:t>lead time</w:t>
      </w:r>
      <w:r w:rsidRPr="004107E1">
        <w:rPr>
          <w:rFonts w:ascii="Arial" w:eastAsiaTheme="minorHAnsi" w:hAnsi="Arial" w:cs="Arial"/>
          <w:sz w:val="20"/>
          <w:szCs w:val="20"/>
          <w:lang w:eastAsia="en-US"/>
        </w:rPr>
        <w:t xml:space="preserve"> for offshore wind farm development is</w:t>
      </w:r>
      <w:r>
        <w:rPr>
          <w:rFonts w:ascii="Arial" w:eastAsiaTheme="minorHAnsi" w:hAnsi="Arial" w:cs="Arial"/>
          <w:sz w:val="20"/>
          <w:szCs w:val="20"/>
          <w:lang w:eastAsia="en-US"/>
        </w:rPr>
        <w:t xml:space="preserve"> </w:t>
      </w:r>
      <w:r w:rsidRPr="004107E1">
        <w:rPr>
          <w:rFonts w:ascii="Arial" w:eastAsiaTheme="minorHAnsi" w:hAnsi="Arial" w:cs="Arial"/>
          <w:sz w:val="20"/>
          <w:szCs w:val="20"/>
          <w:lang w:eastAsia="en-US"/>
        </w:rPr>
        <w:t xml:space="preserve">such that investment decisions and </w:t>
      </w:r>
      <w:proofErr w:type="spellStart"/>
      <w:r w:rsidRPr="004107E1">
        <w:rPr>
          <w:rFonts w:ascii="Arial" w:eastAsiaTheme="minorHAnsi" w:hAnsi="Arial" w:cs="Arial"/>
          <w:sz w:val="20"/>
          <w:szCs w:val="20"/>
          <w:lang w:eastAsia="en-US"/>
        </w:rPr>
        <w:t>CfD</w:t>
      </w:r>
      <w:proofErr w:type="spellEnd"/>
      <w:r w:rsidRPr="004107E1">
        <w:rPr>
          <w:rFonts w:ascii="Arial" w:eastAsiaTheme="minorHAnsi" w:hAnsi="Arial" w:cs="Arial"/>
          <w:sz w:val="20"/>
          <w:szCs w:val="20"/>
          <w:lang w:eastAsia="en-US"/>
        </w:rPr>
        <w:t xml:space="preserve"> bidding are made without confidence in future transmission use of</w:t>
      </w:r>
      <w:r w:rsidR="00E709F0">
        <w:rPr>
          <w:rFonts w:ascii="Arial" w:eastAsiaTheme="minorHAnsi" w:hAnsi="Arial" w:cs="Arial"/>
          <w:sz w:val="20"/>
          <w:szCs w:val="20"/>
          <w:lang w:eastAsia="en-US"/>
        </w:rPr>
        <w:t xml:space="preserve"> </w:t>
      </w:r>
      <w:r w:rsidRPr="004107E1">
        <w:rPr>
          <w:rFonts w:ascii="Arial" w:eastAsiaTheme="minorHAnsi" w:hAnsi="Arial" w:cs="Arial"/>
          <w:sz w:val="20"/>
          <w:szCs w:val="20"/>
          <w:lang w:eastAsia="en-US"/>
        </w:rPr>
        <w:t>system charges</w:t>
      </w:r>
    </w:p>
    <w:p w14:paraId="32C91495" w14:textId="72B4033A" w:rsidR="00771BDD" w:rsidRPr="00771BDD" w:rsidRDefault="004107E1" w:rsidP="00771BDD">
      <w:pPr>
        <w:pStyle w:val="NormalWeb"/>
        <w:numPr>
          <w:ilvl w:val="0"/>
          <w:numId w:val="34"/>
        </w:numPr>
        <w:spacing w:before="0" w:beforeAutospacing="0" w:after="0" w:afterAutospacing="0" w:line="276" w:lineRule="auto"/>
        <w:jc w:val="both"/>
        <w:rPr>
          <w:rFonts w:ascii="Arial" w:eastAsiaTheme="minorHAnsi" w:hAnsi="Arial" w:cs="Arial"/>
          <w:sz w:val="20"/>
          <w:szCs w:val="20"/>
          <w:lang w:eastAsia="en-US"/>
        </w:rPr>
      </w:pPr>
      <w:r w:rsidRPr="004107E1">
        <w:rPr>
          <w:rFonts w:ascii="Arial" w:eastAsiaTheme="minorHAnsi" w:hAnsi="Arial" w:cs="Arial"/>
          <w:sz w:val="20"/>
          <w:szCs w:val="20"/>
          <w:lang w:eastAsia="en-US"/>
        </w:rPr>
        <w:t>There are demonstrable impacts of transmission</w:t>
      </w:r>
      <w:r>
        <w:rPr>
          <w:rFonts w:ascii="Arial" w:eastAsiaTheme="minorHAnsi" w:hAnsi="Arial" w:cs="Arial"/>
          <w:sz w:val="20"/>
          <w:szCs w:val="20"/>
          <w:lang w:eastAsia="en-US"/>
        </w:rPr>
        <w:t xml:space="preserve"> </w:t>
      </w:r>
      <w:r w:rsidRPr="004107E1">
        <w:rPr>
          <w:rFonts w:ascii="Arial" w:eastAsiaTheme="minorHAnsi" w:hAnsi="Arial" w:cs="Arial"/>
          <w:sz w:val="20"/>
          <w:szCs w:val="20"/>
          <w:lang w:eastAsia="en-US"/>
        </w:rPr>
        <w:t>charge unpredictability and volatility on offshore wind</w:t>
      </w:r>
      <w:r>
        <w:rPr>
          <w:rFonts w:ascii="Arial" w:eastAsiaTheme="minorHAnsi" w:hAnsi="Arial" w:cs="Arial"/>
          <w:sz w:val="20"/>
          <w:szCs w:val="20"/>
          <w:lang w:eastAsia="en-US"/>
        </w:rPr>
        <w:t xml:space="preserve"> </w:t>
      </w:r>
      <w:r w:rsidRPr="004107E1">
        <w:rPr>
          <w:rFonts w:ascii="Arial" w:eastAsiaTheme="minorHAnsi" w:hAnsi="Arial" w:cs="Arial"/>
          <w:sz w:val="20"/>
          <w:szCs w:val="20"/>
          <w:lang w:eastAsia="en-US"/>
        </w:rPr>
        <w:t>farm costs and, hence, the cost to energy consumers</w:t>
      </w:r>
      <w:r w:rsidR="00771BDD">
        <w:rPr>
          <w:rFonts w:ascii="Arial" w:eastAsiaTheme="minorHAnsi" w:hAnsi="Arial" w:cs="Arial"/>
          <w:sz w:val="20"/>
          <w:szCs w:val="20"/>
          <w:lang w:eastAsia="en-US"/>
        </w:rPr>
        <w:t>.</w:t>
      </w:r>
    </w:p>
    <w:p w14:paraId="385A84FE" w14:textId="03ACE3D0" w:rsidR="006918EE" w:rsidRDefault="006918EE" w:rsidP="006918EE">
      <w:pPr>
        <w:pStyle w:val="NormalWeb"/>
        <w:spacing w:before="0" w:beforeAutospacing="0" w:after="0" w:afterAutospacing="0" w:line="276" w:lineRule="auto"/>
        <w:jc w:val="both"/>
        <w:rPr>
          <w:rFonts w:ascii="Arial" w:eastAsiaTheme="minorHAnsi" w:hAnsi="Arial" w:cs="Arial"/>
          <w:sz w:val="20"/>
          <w:szCs w:val="20"/>
          <w:lang w:eastAsia="en-US"/>
        </w:rPr>
      </w:pPr>
    </w:p>
    <w:p w14:paraId="1AAC4661" w14:textId="3FD62B0C" w:rsidR="006918EE" w:rsidRDefault="006918EE" w:rsidP="006918EE">
      <w:pPr>
        <w:pStyle w:val="NormalWeb"/>
        <w:spacing w:before="0" w:beforeAutospacing="0" w:after="0" w:afterAutospacing="0"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Volatility and unpredictability of </w:t>
      </w:r>
      <w:proofErr w:type="spellStart"/>
      <w:r>
        <w:rPr>
          <w:rFonts w:ascii="Arial" w:eastAsiaTheme="minorHAnsi" w:hAnsi="Arial" w:cs="Arial"/>
          <w:sz w:val="20"/>
          <w:szCs w:val="20"/>
          <w:lang w:eastAsia="en-US"/>
        </w:rPr>
        <w:t>TNUoS</w:t>
      </w:r>
      <w:proofErr w:type="spellEnd"/>
      <w:r>
        <w:rPr>
          <w:rFonts w:ascii="Arial" w:eastAsiaTheme="minorHAnsi" w:hAnsi="Arial" w:cs="Arial"/>
          <w:sz w:val="20"/>
          <w:szCs w:val="20"/>
          <w:lang w:eastAsia="en-US"/>
        </w:rPr>
        <w:t xml:space="preserve"> </w:t>
      </w:r>
      <w:r w:rsidR="00B9659E">
        <w:rPr>
          <w:rFonts w:ascii="Arial" w:eastAsiaTheme="minorHAnsi" w:hAnsi="Arial" w:cs="Arial"/>
          <w:sz w:val="20"/>
          <w:szCs w:val="20"/>
          <w:lang w:eastAsia="en-US"/>
        </w:rPr>
        <w:t>are significant issues</w:t>
      </w:r>
      <w:r>
        <w:rPr>
          <w:rFonts w:ascii="Arial" w:eastAsiaTheme="minorHAnsi" w:hAnsi="Arial" w:cs="Arial"/>
          <w:sz w:val="20"/>
          <w:szCs w:val="20"/>
          <w:lang w:eastAsia="en-US"/>
        </w:rPr>
        <w:t xml:space="preserve"> for renewable generators today</w:t>
      </w:r>
      <w:r w:rsidR="002D118A">
        <w:rPr>
          <w:rFonts w:ascii="Arial" w:eastAsiaTheme="minorHAnsi" w:hAnsi="Arial" w:cs="Arial"/>
          <w:sz w:val="20"/>
          <w:szCs w:val="20"/>
          <w:lang w:eastAsia="en-US"/>
        </w:rPr>
        <w:t>, so we believe that the charging regime require</w:t>
      </w:r>
      <w:r w:rsidR="00294C5E">
        <w:rPr>
          <w:rFonts w:ascii="Arial" w:eastAsiaTheme="minorHAnsi" w:hAnsi="Arial" w:cs="Arial"/>
          <w:sz w:val="20"/>
          <w:szCs w:val="20"/>
          <w:lang w:eastAsia="en-US"/>
        </w:rPr>
        <w:t>s</w:t>
      </w:r>
      <w:r w:rsidR="002D118A">
        <w:rPr>
          <w:rFonts w:ascii="Arial" w:eastAsiaTheme="minorHAnsi" w:hAnsi="Arial" w:cs="Arial"/>
          <w:sz w:val="20"/>
          <w:szCs w:val="20"/>
          <w:lang w:eastAsia="en-US"/>
        </w:rPr>
        <w:t xml:space="preserve"> </w:t>
      </w:r>
      <w:r w:rsidR="00866C8C">
        <w:rPr>
          <w:rFonts w:ascii="Arial" w:eastAsiaTheme="minorHAnsi" w:hAnsi="Arial" w:cs="Arial"/>
          <w:sz w:val="20"/>
          <w:szCs w:val="20"/>
          <w:lang w:eastAsia="en-US"/>
        </w:rPr>
        <w:t xml:space="preserve">quick </w:t>
      </w:r>
      <w:r w:rsidR="002D118A">
        <w:rPr>
          <w:rFonts w:ascii="Arial" w:eastAsiaTheme="minorHAnsi" w:hAnsi="Arial" w:cs="Arial"/>
          <w:sz w:val="20"/>
          <w:szCs w:val="20"/>
          <w:lang w:eastAsia="en-US"/>
        </w:rPr>
        <w:t xml:space="preserve">fixes </w:t>
      </w:r>
      <w:r w:rsidR="00866C8C">
        <w:rPr>
          <w:rFonts w:ascii="Arial" w:eastAsiaTheme="minorHAnsi" w:hAnsi="Arial" w:cs="Arial"/>
          <w:sz w:val="20"/>
          <w:szCs w:val="20"/>
          <w:lang w:eastAsia="en-US"/>
        </w:rPr>
        <w:t>to</w:t>
      </w:r>
      <w:r w:rsidR="002D118A">
        <w:rPr>
          <w:rFonts w:ascii="Arial" w:eastAsiaTheme="minorHAnsi" w:hAnsi="Arial" w:cs="Arial"/>
          <w:sz w:val="20"/>
          <w:szCs w:val="20"/>
          <w:lang w:eastAsia="en-US"/>
        </w:rPr>
        <w:t xml:space="preserve"> address the</w:t>
      </w:r>
      <w:r w:rsidR="00B9659E">
        <w:rPr>
          <w:rFonts w:ascii="Arial" w:eastAsiaTheme="minorHAnsi" w:hAnsi="Arial" w:cs="Arial"/>
          <w:sz w:val="20"/>
          <w:szCs w:val="20"/>
          <w:lang w:eastAsia="en-US"/>
        </w:rPr>
        <w:t>se</w:t>
      </w:r>
      <w:r w:rsidR="002D118A">
        <w:rPr>
          <w:rFonts w:ascii="Arial" w:eastAsiaTheme="minorHAnsi" w:hAnsi="Arial" w:cs="Arial"/>
          <w:sz w:val="20"/>
          <w:szCs w:val="20"/>
          <w:lang w:eastAsia="en-US"/>
        </w:rPr>
        <w:t xml:space="preserve"> issue</w:t>
      </w:r>
      <w:r w:rsidR="00B9659E">
        <w:rPr>
          <w:rFonts w:ascii="Arial" w:eastAsiaTheme="minorHAnsi" w:hAnsi="Arial" w:cs="Arial"/>
          <w:sz w:val="20"/>
          <w:szCs w:val="20"/>
          <w:lang w:eastAsia="en-US"/>
        </w:rPr>
        <w:t>s</w:t>
      </w:r>
      <w:r w:rsidR="002D118A">
        <w:rPr>
          <w:rFonts w:ascii="Arial" w:eastAsiaTheme="minorHAnsi" w:hAnsi="Arial" w:cs="Arial"/>
          <w:sz w:val="20"/>
          <w:szCs w:val="20"/>
          <w:lang w:eastAsia="en-US"/>
        </w:rPr>
        <w:t xml:space="preserve"> urgently.</w:t>
      </w:r>
    </w:p>
    <w:p w14:paraId="72D09185" w14:textId="77777777" w:rsidR="00866C8C" w:rsidRPr="004107E1" w:rsidRDefault="00866C8C" w:rsidP="006918EE">
      <w:pPr>
        <w:pStyle w:val="NormalWeb"/>
        <w:spacing w:before="0" w:beforeAutospacing="0" w:after="0" w:afterAutospacing="0" w:line="276" w:lineRule="auto"/>
        <w:jc w:val="both"/>
        <w:rPr>
          <w:rFonts w:ascii="Arial" w:eastAsiaTheme="minorHAnsi" w:hAnsi="Arial" w:cs="Arial"/>
          <w:sz w:val="20"/>
          <w:szCs w:val="20"/>
          <w:lang w:eastAsia="en-US"/>
        </w:rPr>
      </w:pPr>
    </w:p>
    <w:p w14:paraId="46FC359B" w14:textId="77777777" w:rsidR="0001142E" w:rsidRPr="00D127BD" w:rsidRDefault="0001142E" w:rsidP="000654B3">
      <w:pPr>
        <w:pStyle w:val="NormalWeb"/>
        <w:spacing w:before="0" w:beforeAutospacing="0" w:after="0" w:afterAutospacing="0" w:line="276" w:lineRule="auto"/>
        <w:jc w:val="both"/>
        <w:rPr>
          <w:rFonts w:ascii="Arial" w:hAnsi="Arial" w:cs="Arial"/>
          <w:sz w:val="20"/>
          <w:szCs w:val="20"/>
        </w:rPr>
      </w:pPr>
    </w:p>
    <w:p w14:paraId="2EF61B2C" w14:textId="7260270C" w:rsidR="00107BDC" w:rsidRPr="00AE275E" w:rsidRDefault="00F166A6" w:rsidP="00AE275E">
      <w:pPr>
        <w:pStyle w:val="ListParagraph"/>
        <w:numPr>
          <w:ilvl w:val="1"/>
          <w:numId w:val="27"/>
        </w:numPr>
        <w:autoSpaceDE w:val="0"/>
        <w:autoSpaceDN w:val="0"/>
        <w:adjustRightInd w:val="0"/>
        <w:spacing w:after="0"/>
        <w:jc w:val="both"/>
        <w:rPr>
          <w:rFonts w:cs="Arial"/>
          <w:b/>
          <w:bCs/>
          <w:sz w:val="20"/>
          <w:szCs w:val="20"/>
        </w:rPr>
      </w:pPr>
      <w:r w:rsidRPr="00AE275E">
        <w:rPr>
          <w:rFonts w:cs="Arial"/>
          <w:b/>
          <w:bCs/>
          <w:sz w:val="20"/>
          <w:szCs w:val="20"/>
        </w:rPr>
        <w:t>Cost-reflectivity</w:t>
      </w:r>
    </w:p>
    <w:p w14:paraId="45521B6F" w14:textId="7F0E1ECD" w:rsidR="00C11D2C" w:rsidRDefault="00C11D2C" w:rsidP="00C11D2C">
      <w:pPr>
        <w:autoSpaceDE w:val="0"/>
        <w:autoSpaceDN w:val="0"/>
        <w:adjustRightInd w:val="0"/>
        <w:spacing w:after="0"/>
        <w:jc w:val="both"/>
        <w:rPr>
          <w:rFonts w:cs="Arial"/>
          <w:b/>
          <w:bCs/>
          <w:sz w:val="20"/>
          <w:szCs w:val="20"/>
        </w:rPr>
      </w:pPr>
    </w:p>
    <w:p w14:paraId="5BC0923C" w14:textId="203B2927" w:rsidR="00C11D2C" w:rsidRDefault="0001142E" w:rsidP="00C11D2C">
      <w:pPr>
        <w:autoSpaceDE w:val="0"/>
        <w:autoSpaceDN w:val="0"/>
        <w:adjustRightInd w:val="0"/>
        <w:spacing w:after="0"/>
        <w:jc w:val="both"/>
        <w:rPr>
          <w:rFonts w:ascii="Arial" w:hAnsi="Arial" w:cs="Arial"/>
          <w:sz w:val="20"/>
          <w:szCs w:val="20"/>
        </w:rPr>
      </w:pPr>
      <w:r w:rsidRPr="0001142E">
        <w:rPr>
          <w:rFonts w:ascii="Arial" w:hAnsi="Arial" w:cs="Arial"/>
          <w:sz w:val="20"/>
          <w:szCs w:val="20"/>
        </w:rPr>
        <w:t xml:space="preserve">In the recent </w:t>
      </w:r>
      <w:r>
        <w:rPr>
          <w:rFonts w:ascii="Arial" w:hAnsi="Arial" w:cs="Arial"/>
          <w:sz w:val="20"/>
          <w:szCs w:val="20"/>
        </w:rPr>
        <w:t>‘</w:t>
      </w:r>
      <w:r w:rsidRPr="0001142E">
        <w:rPr>
          <w:rFonts w:ascii="Arial" w:hAnsi="Arial" w:cs="Arial"/>
          <w:sz w:val="20"/>
          <w:szCs w:val="20"/>
        </w:rPr>
        <w:t>Access and Forward-looking Charges Significant Code Review: Consultation on Minded to Positions</w:t>
      </w:r>
      <w:r>
        <w:rPr>
          <w:rFonts w:ascii="Arial" w:hAnsi="Arial" w:cs="Arial"/>
          <w:sz w:val="20"/>
          <w:szCs w:val="20"/>
        </w:rPr>
        <w:t>’ Ofgem published alongside the consultation a quantitative analysis carried by CEPA-TNEI</w:t>
      </w:r>
      <w:r w:rsidR="00E8669E">
        <w:rPr>
          <w:rStyle w:val="FootnoteReference"/>
          <w:rFonts w:ascii="Arial" w:hAnsi="Arial" w:cs="Arial"/>
          <w:sz w:val="20"/>
          <w:szCs w:val="20"/>
        </w:rPr>
        <w:footnoteReference w:id="12"/>
      </w:r>
      <w:r>
        <w:rPr>
          <w:rFonts w:ascii="Arial" w:hAnsi="Arial" w:cs="Arial"/>
          <w:sz w:val="20"/>
          <w:szCs w:val="20"/>
        </w:rPr>
        <w:t xml:space="preserve">. </w:t>
      </w:r>
      <w:r>
        <w:rPr>
          <w:rFonts w:ascii="Arial" w:hAnsi="Arial" w:cs="Arial"/>
          <w:sz w:val="20"/>
          <w:szCs w:val="20"/>
        </w:rPr>
        <w:lastRenderedPageBreak/>
        <w:t xml:space="preserve">This analysis shows the charges that small distributor generators </w:t>
      </w:r>
      <w:r w:rsidR="008C0AAB">
        <w:rPr>
          <w:rFonts w:ascii="Arial" w:hAnsi="Arial" w:cs="Arial"/>
          <w:sz w:val="20"/>
          <w:szCs w:val="20"/>
        </w:rPr>
        <w:t>would</w:t>
      </w:r>
      <w:r>
        <w:rPr>
          <w:rFonts w:ascii="Arial" w:hAnsi="Arial" w:cs="Arial"/>
          <w:sz w:val="20"/>
          <w:szCs w:val="20"/>
        </w:rPr>
        <w:t xml:space="preserve"> face if they paid </w:t>
      </w:r>
      <w:proofErr w:type="spellStart"/>
      <w:r>
        <w:rPr>
          <w:rFonts w:ascii="Arial" w:hAnsi="Arial" w:cs="Arial"/>
          <w:sz w:val="20"/>
          <w:szCs w:val="20"/>
        </w:rPr>
        <w:t>TNUoS</w:t>
      </w:r>
      <w:proofErr w:type="spellEnd"/>
      <w:r>
        <w:rPr>
          <w:rFonts w:ascii="Arial" w:hAnsi="Arial" w:cs="Arial"/>
          <w:sz w:val="20"/>
          <w:szCs w:val="20"/>
        </w:rPr>
        <w:t xml:space="preserve"> charges </w:t>
      </w:r>
      <w:r w:rsidR="00294C5E">
        <w:rPr>
          <w:rFonts w:ascii="Arial" w:hAnsi="Arial" w:cs="Arial"/>
          <w:sz w:val="20"/>
          <w:szCs w:val="20"/>
        </w:rPr>
        <w:t xml:space="preserve">up to 2040 </w:t>
      </w:r>
      <w:r>
        <w:rPr>
          <w:rFonts w:ascii="Arial" w:hAnsi="Arial" w:cs="Arial"/>
          <w:sz w:val="20"/>
          <w:szCs w:val="20"/>
        </w:rPr>
        <w:t xml:space="preserve">(see table below). </w:t>
      </w:r>
    </w:p>
    <w:p w14:paraId="6883A718" w14:textId="1DAE378F" w:rsidR="008C0AAB" w:rsidRDefault="008C0AAB" w:rsidP="00C11D2C">
      <w:pPr>
        <w:autoSpaceDE w:val="0"/>
        <w:autoSpaceDN w:val="0"/>
        <w:adjustRightInd w:val="0"/>
        <w:spacing w:after="0"/>
        <w:jc w:val="both"/>
        <w:rPr>
          <w:rFonts w:ascii="Arial" w:hAnsi="Arial" w:cs="Arial"/>
          <w:sz w:val="20"/>
          <w:szCs w:val="20"/>
        </w:rPr>
      </w:pPr>
    </w:p>
    <w:p w14:paraId="6B3C5923" w14:textId="48D3E6B8" w:rsidR="008C0AAB" w:rsidRDefault="008C0AAB" w:rsidP="00C11D2C">
      <w:pPr>
        <w:autoSpaceDE w:val="0"/>
        <w:autoSpaceDN w:val="0"/>
        <w:adjustRightInd w:val="0"/>
        <w:spacing w:after="0"/>
        <w:jc w:val="both"/>
        <w:rPr>
          <w:rFonts w:ascii="Arial" w:hAnsi="Arial" w:cs="Arial"/>
          <w:sz w:val="20"/>
          <w:szCs w:val="20"/>
        </w:rPr>
      </w:pPr>
      <w:r>
        <w:rPr>
          <w:rFonts w:ascii="Arial" w:hAnsi="Arial" w:cs="Arial"/>
          <w:sz w:val="20"/>
          <w:szCs w:val="20"/>
        </w:rPr>
        <w:t>The table shows the disparity of charges by location</w:t>
      </w:r>
      <w:r w:rsidR="00294C5E">
        <w:rPr>
          <w:rFonts w:ascii="Arial" w:hAnsi="Arial" w:cs="Arial"/>
          <w:sz w:val="20"/>
          <w:szCs w:val="20"/>
        </w:rPr>
        <w:t>,</w:t>
      </w:r>
      <w:r>
        <w:rPr>
          <w:rFonts w:ascii="Arial" w:hAnsi="Arial" w:cs="Arial"/>
          <w:sz w:val="20"/>
          <w:szCs w:val="20"/>
        </w:rPr>
        <w:t xml:space="preserve"> which is the same issue</w:t>
      </w:r>
      <w:r w:rsidR="003862CB">
        <w:rPr>
          <w:rFonts w:ascii="Arial" w:hAnsi="Arial" w:cs="Arial"/>
          <w:sz w:val="20"/>
          <w:szCs w:val="20"/>
        </w:rPr>
        <w:t xml:space="preserve"> we</w:t>
      </w:r>
      <w:r>
        <w:rPr>
          <w:rFonts w:ascii="Arial" w:hAnsi="Arial" w:cs="Arial"/>
          <w:sz w:val="20"/>
          <w:szCs w:val="20"/>
        </w:rPr>
        <w:t xml:space="preserve"> have expose</w:t>
      </w:r>
      <w:r w:rsidR="00294C5E">
        <w:rPr>
          <w:rFonts w:ascii="Arial" w:hAnsi="Arial" w:cs="Arial"/>
          <w:sz w:val="20"/>
          <w:szCs w:val="20"/>
        </w:rPr>
        <w:t>d</w:t>
      </w:r>
      <w:r>
        <w:rPr>
          <w:rFonts w:ascii="Arial" w:hAnsi="Arial" w:cs="Arial"/>
          <w:sz w:val="20"/>
          <w:szCs w:val="20"/>
        </w:rPr>
        <w:t xml:space="preserve"> previously</w:t>
      </w:r>
      <w:r w:rsidR="000654B3">
        <w:rPr>
          <w:rFonts w:ascii="Arial" w:hAnsi="Arial" w:cs="Arial"/>
          <w:sz w:val="20"/>
          <w:szCs w:val="20"/>
        </w:rPr>
        <w:t xml:space="preserve"> at transmission level</w:t>
      </w:r>
      <w:r>
        <w:rPr>
          <w:rFonts w:ascii="Arial" w:hAnsi="Arial" w:cs="Arial"/>
          <w:sz w:val="20"/>
          <w:szCs w:val="20"/>
        </w:rPr>
        <w:t xml:space="preserve">.  We can see </w:t>
      </w:r>
      <w:r w:rsidRPr="008C0AAB">
        <w:rPr>
          <w:rFonts w:ascii="Arial" w:hAnsi="Arial" w:cs="Arial"/>
          <w:sz w:val="20"/>
          <w:szCs w:val="20"/>
        </w:rPr>
        <w:t xml:space="preserve">a strong signal to incentivise fossil-fuel generation anywhere in England or Wales, and even to pay </w:t>
      </w:r>
      <w:proofErr w:type="spellStart"/>
      <w:r w:rsidRPr="008C0AAB">
        <w:rPr>
          <w:rFonts w:ascii="Arial" w:hAnsi="Arial" w:cs="Arial"/>
          <w:sz w:val="20"/>
          <w:szCs w:val="20"/>
        </w:rPr>
        <w:t>TNUoS</w:t>
      </w:r>
      <w:proofErr w:type="spellEnd"/>
      <w:r w:rsidRPr="008C0AAB">
        <w:rPr>
          <w:rFonts w:ascii="Arial" w:hAnsi="Arial" w:cs="Arial"/>
          <w:sz w:val="20"/>
          <w:szCs w:val="20"/>
        </w:rPr>
        <w:t xml:space="preserve"> credits to fossil-fuel generation throughout Scotland, despite the principles which </w:t>
      </w:r>
      <w:proofErr w:type="spellStart"/>
      <w:r w:rsidRPr="008C0AAB">
        <w:rPr>
          <w:rFonts w:ascii="Arial" w:hAnsi="Arial" w:cs="Arial"/>
          <w:sz w:val="20"/>
          <w:szCs w:val="20"/>
        </w:rPr>
        <w:t>TNUoS</w:t>
      </w:r>
      <w:proofErr w:type="spellEnd"/>
      <w:r w:rsidRPr="008C0AAB">
        <w:rPr>
          <w:rFonts w:ascii="Arial" w:hAnsi="Arial" w:cs="Arial"/>
          <w:sz w:val="20"/>
          <w:szCs w:val="20"/>
        </w:rPr>
        <w:t xml:space="preserve"> was designed to deliver. On the other hand, the only generation making payments for wider </w:t>
      </w:r>
      <w:proofErr w:type="spellStart"/>
      <w:r w:rsidRPr="008C0AAB">
        <w:rPr>
          <w:rFonts w:ascii="Arial" w:hAnsi="Arial" w:cs="Arial"/>
          <w:sz w:val="20"/>
          <w:szCs w:val="20"/>
        </w:rPr>
        <w:t>TNUoS</w:t>
      </w:r>
      <w:proofErr w:type="spellEnd"/>
      <w:r w:rsidRPr="008C0AAB">
        <w:rPr>
          <w:rFonts w:ascii="Arial" w:hAnsi="Arial" w:cs="Arial"/>
          <w:sz w:val="20"/>
          <w:szCs w:val="20"/>
        </w:rPr>
        <w:t xml:space="preserve"> is low carbon conventional and variable renewables in Scotland alone</w:t>
      </w:r>
      <w:r w:rsidR="003862CB">
        <w:rPr>
          <w:rFonts w:ascii="Arial" w:hAnsi="Arial" w:cs="Arial"/>
          <w:sz w:val="20"/>
          <w:szCs w:val="20"/>
        </w:rPr>
        <w:t xml:space="preserve"> (zone 1 and 2)</w:t>
      </w:r>
      <w:r w:rsidRPr="008C0AAB">
        <w:rPr>
          <w:rFonts w:ascii="Arial" w:hAnsi="Arial" w:cs="Arial"/>
          <w:sz w:val="20"/>
          <w:szCs w:val="20"/>
        </w:rPr>
        <w:t>. These outcomes are hard to reconcile against cost-reflectivity, nor against reasonable regulatory uncertainty for existing generators. Above all, these outcomes are hard to reconcile with the deployment of variable renewables required to meet net zero pathways.</w:t>
      </w:r>
    </w:p>
    <w:p w14:paraId="3F963BBF" w14:textId="2E66697F" w:rsidR="008C0AAB" w:rsidRDefault="008C0AAB" w:rsidP="00C11D2C">
      <w:pPr>
        <w:autoSpaceDE w:val="0"/>
        <w:autoSpaceDN w:val="0"/>
        <w:adjustRightInd w:val="0"/>
        <w:spacing w:after="0"/>
        <w:jc w:val="both"/>
        <w:rPr>
          <w:rFonts w:ascii="Arial" w:hAnsi="Arial" w:cs="Arial"/>
          <w:sz w:val="20"/>
          <w:szCs w:val="20"/>
        </w:rPr>
      </w:pPr>
    </w:p>
    <w:p w14:paraId="01F64B3E" w14:textId="676A6882" w:rsidR="005715F4" w:rsidRDefault="00927898" w:rsidP="006207C9">
      <w:pPr>
        <w:autoSpaceDE w:val="0"/>
        <w:autoSpaceDN w:val="0"/>
        <w:adjustRightInd w:val="0"/>
        <w:spacing w:after="0"/>
        <w:jc w:val="center"/>
        <w:rPr>
          <w:rFonts w:ascii="Arial" w:hAnsi="Arial" w:cs="Arial"/>
          <w:sz w:val="18"/>
          <w:szCs w:val="18"/>
        </w:rPr>
      </w:pPr>
      <w:r>
        <w:rPr>
          <w:noProof/>
        </w:rPr>
        <w:drawing>
          <wp:anchor distT="0" distB="0" distL="114300" distR="114300" simplePos="0" relativeHeight="251658240" behindDoc="0" locked="0" layoutInCell="1" allowOverlap="1" wp14:anchorId="7A62612D" wp14:editId="7FA25BA7">
            <wp:simplePos x="0" y="0"/>
            <wp:positionH relativeFrom="column">
              <wp:posOffset>831215</wp:posOffset>
            </wp:positionH>
            <wp:positionV relativeFrom="paragraph">
              <wp:posOffset>194945</wp:posOffset>
            </wp:positionV>
            <wp:extent cx="1690370" cy="2854325"/>
            <wp:effectExtent l="0" t="0" r="5080" b="3175"/>
            <wp:wrapThrough wrapText="bothSides">
              <wp:wrapPolygon edited="0">
                <wp:start x="0" y="0"/>
                <wp:lineTo x="0" y="21480"/>
                <wp:lineTo x="21421" y="21480"/>
                <wp:lineTo x="21421" y="0"/>
                <wp:lineTo x="0" y="0"/>
              </wp:wrapPolygon>
            </wp:wrapThrough>
            <wp:docPr id="11" name="Picture 1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p&#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90370" cy="2854325"/>
                    </a:xfrm>
                    <a:prstGeom prst="rect">
                      <a:avLst/>
                    </a:prstGeom>
                  </pic:spPr>
                </pic:pic>
              </a:graphicData>
            </a:graphic>
            <wp14:sizeRelH relativeFrom="page">
              <wp14:pctWidth>0</wp14:pctWidth>
            </wp14:sizeRelH>
            <wp14:sizeRelV relativeFrom="page">
              <wp14:pctHeight>0</wp14:pctHeight>
            </wp14:sizeRelV>
          </wp:anchor>
        </w:drawing>
      </w:r>
      <w:r w:rsidRPr="000A48D0">
        <w:rPr>
          <w:rFonts w:ascii="Arial" w:hAnsi="Arial" w:cs="Arial"/>
          <w:noProof/>
          <w:sz w:val="20"/>
          <w:szCs w:val="20"/>
        </w:rPr>
        <w:drawing>
          <wp:anchor distT="0" distB="0" distL="114300" distR="114300" simplePos="0" relativeHeight="251659264" behindDoc="0" locked="0" layoutInCell="1" allowOverlap="1" wp14:anchorId="0E7F3846" wp14:editId="26EF5214">
            <wp:simplePos x="0" y="0"/>
            <wp:positionH relativeFrom="column">
              <wp:posOffset>2572466</wp:posOffset>
            </wp:positionH>
            <wp:positionV relativeFrom="paragraph">
              <wp:posOffset>151130</wp:posOffset>
            </wp:positionV>
            <wp:extent cx="2758440" cy="2989580"/>
            <wp:effectExtent l="0" t="0" r="3810" b="1270"/>
            <wp:wrapTopAndBottom/>
            <wp:docPr id="3" name="Picture 3" descr="Capacity charge &#10;Capacity charge &#10;ElkW, &#10;ElkW, Low Carbon &#10;Dist &#10;2 &#10;3 &#10;4 &#10;5 &#10;6 &#10;7 &#10;8 &#10;9 &#10;10 &#10;11 &#10;12 &#10;13 &#10;14 &#10;Conventional &#10;generators &#10;generators &#10;-3.56 &#10;-5.72 &#10;-7.67 &#10;-8.32 &#10;-8.97 &#10;-8.97 &#10;-13.55 &#10;-13.55 &#10;-13.17 &#10;-13.55 &#10;-14.69 &#10;-13.55 &#10;-14.69 &#10;54.02 &#10;29.17 &#10;-0.24 &#10;-4.55 &#10;-8.86 &#10;-8.86 &#10;-18.44 &#10;-18.44 &#10;-16.37 &#10;-18.44 &#10;-19.48 &#10;-18.44 &#10;-19.48 &#10;-19.48 &#10;Capacity charge &#10;ElkW, Intermittent &#10;generators &#10;54.46 &#10;29.91 &#10;-0.17 &#10;426 &#10;-8.35 &#10;-8.35 &#10;-13.86 &#10;-13.86 &#10;-12.04 &#10;-13.86 &#10;-13.74 &#10;-13.86 &#10;-13.74 &#10;-13.74 &#10;Ofgem July 2021- Access &amp; Forward Looking Charges SCR Minded-To Publication - document &#10;(3) CEPA-TNEI Quantitative Analysis, page 29 Table 5.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city charge &#10;Capacity charge &#10;ElkW, &#10;ElkW, Low Carbon &#10;Dist &#10;2 &#10;3 &#10;4 &#10;5 &#10;6 &#10;7 &#10;8 &#10;9 &#10;10 &#10;11 &#10;12 &#10;13 &#10;14 &#10;Conventional &#10;generators &#10;generators &#10;-3.56 &#10;-5.72 &#10;-7.67 &#10;-8.32 &#10;-8.97 &#10;-8.97 &#10;-13.55 &#10;-13.55 &#10;-13.17 &#10;-13.55 &#10;-14.69 &#10;-13.55 &#10;-14.69 &#10;54.02 &#10;29.17 &#10;-0.24 &#10;-4.55 &#10;-8.86 &#10;-8.86 &#10;-18.44 &#10;-18.44 &#10;-16.37 &#10;-18.44 &#10;-19.48 &#10;-18.44 &#10;-19.48 &#10;-19.48 &#10;Capacity charge &#10;ElkW, Intermittent &#10;generators &#10;54.46 &#10;29.91 &#10;-0.17 &#10;426 &#10;-8.35 &#10;-8.35 &#10;-13.86 &#10;-13.86 &#10;-12.04 &#10;-13.86 &#10;-13.74 &#10;-13.86 &#10;-13.74 &#10;-13.74 &#10;Ofgem July 2021- Access &amp; Forward Looking Charges SCR Minded-To Publication - document &#10;(3) CEPA-TNEI Quantitative Analysis, page 29 Table 5.3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8440" cy="298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7C9" w:rsidRPr="006207C9">
        <w:rPr>
          <w:rFonts w:ascii="Arial" w:hAnsi="Arial" w:cs="Arial"/>
          <w:sz w:val="18"/>
          <w:szCs w:val="18"/>
        </w:rPr>
        <w:t xml:space="preserve">Table </w:t>
      </w:r>
      <w:r w:rsidR="006207C9" w:rsidRPr="00CE55D6">
        <w:rPr>
          <w:rFonts w:ascii="Arial" w:hAnsi="Arial" w:cs="Arial"/>
          <w:sz w:val="18"/>
          <w:szCs w:val="18"/>
        </w:rPr>
        <w:t xml:space="preserve">1: </w:t>
      </w:r>
      <w:r w:rsidR="005715F4" w:rsidRPr="00CE55D6">
        <w:rPr>
          <w:rFonts w:ascii="Arial" w:hAnsi="Arial" w:cs="Arial"/>
          <w:sz w:val="18"/>
          <w:szCs w:val="18"/>
        </w:rPr>
        <w:t>2040 Forecast charges for Small Distributor Generators.</w:t>
      </w:r>
      <w:r w:rsidR="005715F4">
        <w:rPr>
          <w:rFonts w:ascii="Arial" w:hAnsi="Arial" w:cs="Arial"/>
          <w:sz w:val="18"/>
          <w:szCs w:val="18"/>
        </w:rPr>
        <w:t xml:space="preserve"> </w:t>
      </w:r>
    </w:p>
    <w:p w14:paraId="4E26AF23" w14:textId="2EB81780" w:rsidR="0001142E" w:rsidRPr="0001142E" w:rsidRDefault="0001142E" w:rsidP="00927898">
      <w:pPr>
        <w:autoSpaceDE w:val="0"/>
        <w:autoSpaceDN w:val="0"/>
        <w:adjustRightInd w:val="0"/>
        <w:spacing w:after="0"/>
        <w:jc w:val="center"/>
        <w:rPr>
          <w:rFonts w:ascii="Arial" w:hAnsi="Arial" w:cs="Arial"/>
          <w:color w:val="000000"/>
          <w:sz w:val="20"/>
          <w:szCs w:val="20"/>
        </w:rPr>
      </w:pPr>
    </w:p>
    <w:p w14:paraId="1A2CE58C" w14:textId="77777777" w:rsidR="008C0AAB" w:rsidRDefault="008C0AAB" w:rsidP="00C11D2C">
      <w:pPr>
        <w:autoSpaceDE w:val="0"/>
        <w:autoSpaceDN w:val="0"/>
        <w:adjustRightInd w:val="0"/>
        <w:spacing w:after="0"/>
        <w:jc w:val="both"/>
        <w:rPr>
          <w:rFonts w:ascii="Arial" w:hAnsi="Arial" w:cs="Arial"/>
          <w:color w:val="000000"/>
          <w:sz w:val="20"/>
          <w:szCs w:val="20"/>
        </w:rPr>
      </w:pPr>
    </w:p>
    <w:p w14:paraId="57A411BA" w14:textId="2B89EC3D" w:rsidR="00C11D2C" w:rsidRDefault="003862CB" w:rsidP="00C11D2C">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We are aware that this forecast illustrates the charges that small distributor generators would face if they paid </w:t>
      </w:r>
      <w:proofErr w:type="spellStart"/>
      <w:r>
        <w:rPr>
          <w:rFonts w:ascii="Arial" w:hAnsi="Arial" w:cs="Arial"/>
          <w:color w:val="000000"/>
          <w:sz w:val="20"/>
          <w:szCs w:val="20"/>
        </w:rPr>
        <w:t>TNUoS</w:t>
      </w:r>
      <w:proofErr w:type="spellEnd"/>
      <w:r>
        <w:rPr>
          <w:rFonts w:ascii="Arial" w:hAnsi="Arial" w:cs="Arial"/>
          <w:color w:val="000000"/>
          <w:sz w:val="20"/>
          <w:szCs w:val="20"/>
        </w:rPr>
        <w:t xml:space="preserve"> charges which is not the case yet. However, we believe that this is a fair representation of the current regime at transmission level and is strong evidence to review the cost reflectivity of the current regime.</w:t>
      </w:r>
    </w:p>
    <w:p w14:paraId="6538BD38" w14:textId="4CBFFE1C" w:rsidR="003E4954" w:rsidRDefault="003E4954" w:rsidP="00C11D2C">
      <w:pPr>
        <w:autoSpaceDE w:val="0"/>
        <w:autoSpaceDN w:val="0"/>
        <w:adjustRightInd w:val="0"/>
        <w:spacing w:after="0"/>
        <w:jc w:val="both"/>
        <w:rPr>
          <w:rFonts w:ascii="Arial" w:hAnsi="Arial" w:cs="Arial"/>
          <w:color w:val="000000"/>
          <w:sz w:val="20"/>
          <w:szCs w:val="20"/>
        </w:rPr>
      </w:pPr>
    </w:p>
    <w:p w14:paraId="3C2F0E47" w14:textId="194AE59A" w:rsidR="00D93B32" w:rsidRDefault="00D93B32" w:rsidP="003E4954">
      <w:pPr>
        <w:autoSpaceDE w:val="0"/>
        <w:autoSpaceDN w:val="0"/>
        <w:adjustRightInd w:val="0"/>
        <w:spacing w:after="0"/>
        <w:jc w:val="both"/>
        <w:rPr>
          <w:rFonts w:ascii="Arial" w:hAnsi="Arial" w:cs="Arial"/>
          <w:color w:val="000000"/>
          <w:sz w:val="20"/>
          <w:szCs w:val="20"/>
        </w:rPr>
      </w:pPr>
      <w:r w:rsidRPr="00D93B32">
        <w:rPr>
          <w:rFonts w:ascii="Arial" w:hAnsi="Arial" w:cs="Arial"/>
          <w:color w:val="000000"/>
          <w:sz w:val="20"/>
          <w:szCs w:val="20"/>
        </w:rPr>
        <w:t>When we analyse</w:t>
      </w:r>
      <w:r w:rsidR="006707F3">
        <w:rPr>
          <w:rFonts w:ascii="Arial" w:hAnsi="Arial" w:cs="Arial"/>
          <w:color w:val="000000"/>
          <w:sz w:val="20"/>
          <w:szCs w:val="20"/>
        </w:rPr>
        <w:t>d</w:t>
      </w:r>
      <w:r w:rsidRPr="00D93B32">
        <w:rPr>
          <w:rFonts w:ascii="Arial" w:hAnsi="Arial" w:cs="Arial"/>
          <w:color w:val="000000"/>
          <w:sz w:val="20"/>
          <w:szCs w:val="20"/>
        </w:rPr>
        <w:t xml:space="preserve"> cost</w:t>
      </w:r>
      <w:r>
        <w:rPr>
          <w:rFonts w:ascii="Arial" w:hAnsi="Arial" w:cs="Arial"/>
          <w:color w:val="000000"/>
          <w:sz w:val="20"/>
          <w:szCs w:val="20"/>
        </w:rPr>
        <w:t>-</w:t>
      </w:r>
      <w:r w:rsidRPr="00D93B32">
        <w:rPr>
          <w:rFonts w:ascii="Arial" w:hAnsi="Arial" w:cs="Arial"/>
          <w:color w:val="000000"/>
          <w:sz w:val="20"/>
          <w:szCs w:val="20"/>
        </w:rPr>
        <w:t>reflectivity at the voltage level</w:t>
      </w:r>
      <w:r>
        <w:rPr>
          <w:rFonts w:ascii="Arial" w:hAnsi="Arial" w:cs="Arial"/>
          <w:color w:val="000000"/>
          <w:sz w:val="20"/>
          <w:szCs w:val="20"/>
        </w:rPr>
        <w:t xml:space="preserve"> we found further distortions. Today, </w:t>
      </w:r>
      <w:r w:rsidR="00D45A47">
        <w:rPr>
          <w:rFonts w:ascii="Arial" w:hAnsi="Arial" w:cs="Arial"/>
          <w:color w:val="000000"/>
          <w:sz w:val="20"/>
          <w:szCs w:val="20"/>
        </w:rPr>
        <w:t>w</w:t>
      </w:r>
      <w:r w:rsidRPr="00D93B32">
        <w:rPr>
          <w:rFonts w:ascii="Arial" w:hAnsi="Arial" w:cs="Arial"/>
          <w:color w:val="000000"/>
          <w:sz w:val="20"/>
          <w:szCs w:val="20"/>
        </w:rPr>
        <w:t>hile generators connected at 132 KV lines in Scotland are classified as transmission</w:t>
      </w:r>
      <w:r w:rsidR="009E0B84">
        <w:rPr>
          <w:rFonts w:ascii="Arial" w:hAnsi="Arial" w:cs="Arial"/>
          <w:color w:val="000000"/>
          <w:sz w:val="20"/>
          <w:szCs w:val="20"/>
        </w:rPr>
        <w:t xml:space="preserve"> connected</w:t>
      </w:r>
      <w:r w:rsidRPr="00D93B32">
        <w:rPr>
          <w:rFonts w:ascii="Arial" w:hAnsi="Arial" w:cs="Arial"/>
          <w:color w:val="000000"/>
          <w:sz w:val="20"/>
          <w:szCs w:val="20"/>
        </w:rPr>
        <w:t>, in England and Wales they are considered as distribution</w:t>
      </w:r>
      <w:r w:rsidR="009E0B84">
        <w:rPr>
          <w:rFonts w:ascii="Arial" w:hAnsi="Arial" w:cs="Arial"/>
          <w:color w:val="000000"/>
          <w:sz w:val="20"/>
          <w:szCs w:val="20"/>
        </w:rPr>
        <w:t xml:space="preserve"> connected</w:t>
      </w:r>
      <w:r w:rsidRPr="00D93B32">
        <w:rPr>
          <w:rFonts w:ascii="Arial" w:hAnsi="Arial" w:cs="Arial"/>
          <w:color w:val="000000"/>
          <w:sz w:val="20"/>
          <w:szCs w:val="20"/>
        </w:rPr>
        <w:t>.</w:t>
      </w:r>
      <w:r w:rsidR="006207C9">
        <w:rPr>
          <w:rFonts w:ascii="Arial" w:hAnsi="Arial" w:cs="Arial"/>
          <w:color w:val="000000"/>
          <w:sz w:val="20"/>
          <w:szCs w:val="20"/>
        </w:rPr>
        <w:t xml:space="preserve"> This leads to significant differentials:</w:t>
      </w:r>
    </w:p>
    <w:p w14:paraId="62E06779" w14:textId="55EE6572" w:rsidR="006207C9" w:rsidRDefault="006207C9" w:rsidP="003E4954">
      <w:pPr>
        <w:autoSpaceDE w:val="0"/>
        <w:autoSpaceDN w:val="0"/>
        <w:adjustRightInd w:val="0"/>
        <w:spacing w:after="0"/>
        <w:jc w:val="both"/>
        <w:rPr>
          <w:rFonts w:ascii="Arial" w:hAnsi="Arial" w:cs="Arial"/>
          <w:color w:val="000000"/>
          <w:sz w:val="20"/>
          <w:szCs w:val="20"/>
        </w:rPr>
      </w:pPr>
    </w:p>
    <w:p w14:paraId="5B4E2CD3" w14:textId="75AEBD6D" w:rsidR="006207C9" w:rsidRPr="006207C9" w:rsidRDefault="006207C9" w:rsidP="009C2D6D">
      <w:pPr>
        <w:pStyle w:val="ListParagraph"/>
        <w:numPr>
          <w:ilvl w:val="0"/>
          <w:numId w:val="34"/>
        </w:numPr>
        <w:autoSpaceDE w:val="0"/>
        <w:autoSpaceDN w:val="0"/>
        <w:adjustRightInd w:val="0"/>
        <w:spacing w:after="0" w:line="276" w:lineRule="auto"/>
        <w:jc w:val="both"/>
        <w:rPr>
          <w:rFonts w:cs="Arial"/>
          <w:color w:val="000000"/>
          <w:sz w:val="20"/>
          <w:szCs w:val="20"/>
        </w:rPr>
      </w:pPr>
      <w:r w:rsidRPr="006207C9">
        <w:rPr>
          <w:rFonts w:cs="Arial"/>
          <w:color w:val="000000"/>
          <w:sz w:val="20"/>
          <w:szCs w:val="20"/>
        </w:rPr>
        <w:t>Generators in Scotland are required to pay balancing services charges while those in England and Wales are not</w:t>
      </w:r>
    </w:p>
    <w:p w14:paraId="611A6F18" w14:textId="0DBE369E" w:rsidR="006207C9" w:rsidRPr="006207C9" w:rsidRDefault="006207C9" w:rsidP="009C2D6D">
      <w:pPr>
        <w:pStyle w:val="ListParagraph"/>
        <w:numPr>
          <w:ilvl w:val="0"/>
          <w:numId w:val="34"/>
        </w:numPr>
        <w:autoSpaceDE w:val="0"/>
        <w:autoSpaceDN w:val="0"/>
        <w:adjustRightInd w:val="0"/>
        <w:spacing w:after="0" w:line="276" w:lineRule="auto"/>
        <w:jc w:val="both"/>
        <w:rPr>
          <w:rFonts w:cs="Arial"/>
          <w:color w:val="000000"/>
          <w:sz w:val="20"/>
          <w:szCs w:val="20"/>
        </w:rPr>
      </w:pPr>
      <w:r w:rsidRPr="006207C9">
        <w:rPr>
          <w:rFonts w:cs="Arial"/>
          <w:color w:val="000000"/>
          <w:sz w:val="20"/>
          <w:szCs w:val="20"/>
        </w:rPr>
        <w:t>Generators in Scotland pay transmission network charges while those in England and Wales either receive credits under the Embedded Export Tariff (in the South) or pay no charge</w:t>
      </w:r>
    </w:p>
    <w:p w14:paraId="35B6B41C" w14:textId="011ED4BC" w:rsidR="006207C9" w:rsidRDefault="006207C9" w:rsidP="009C2D6D">
      <w:pPr>
        <w:pStyle w:val="ListParagraph"/>
        <w:numPr>
          <w:ilvl w:val="0"/>
          <w:numId w:val="34"/>
        </w:numPr>
        <w:autoSpaceDE w:val="0"/>
        <w:autoSpaceDN w:val="0"/>
        <w:adjustRightInd w:val="0"/>
        <w:spacing w:after="0" w:line="276" w:lineRule="auto"/>
        <w:jc w:val="both"/>
        <w:rPr>
          <w:rFonts w:cs="Arial"/>
          <w:color w:val="000000"/>
          <w:sz w:val="20"/>
          <w:szCs w:val="20"/>
        </w:rPr>
      </w:pPr>
      <w:r w:rsidRPr="006207C9">
        <w:rPr>
          <w:rFonts w:cs="Arial"/>
          <w:color w:val="000000"/>
          <w:sz w:val="20"/>
          <w:szCs w:val="20"/>
        </w:rPr>
        <w:t>Generators in England and Wales pay distribution network charges</w:t>
      </w:r>
    </w:p>
    <w:p w14:paraId="3C23F4CA" w14:textId="5CE4571D" w:rsidR="006207C9" w:rsidRDefault="006207C9" w:rsidP="006207C9">
      <w:pPr>
        <w:autoSpaceDE w:val="0"/>
        <w:autoSpaceDN w:val="0"/>
        <w:adjustRightInd w:val="0"/>
        <w:spacing w:after="0"/>
        <w:jc w:val="both"/>
        <w:rPr>
          <w:rFonts w:cs="Arial"/>
          <w:color w:val="000000"/>
          <w:sz w:val="20"/>
          <w:szCs w:val="20"/>
        </w:rPr>
      </w:pPr>
    </w:p>
    <w:p w14:paraId="3EEECC07" w14:textId="143812BD" w:rsidR="006207C9" w:rsidRPr="006207C9" w:rsidRDefault="006207C9" w:rsidP="006207C9">
      <w:pPr>
        <w:autoSpaceDE w:val="0"/>
        <w:autoSpaceDN w:val="0"/>
        <w:adjustRightInd w:val="0"/>
        <w:spacing w:after="0"/>
        <w:jc w:val="both"/>
        <w:rPr>
          <w:rFonts w:ascii="Arial" w:hAnsi="Arial" w:cs="Arial"/>
          <w:color w:val="000000"/>
          <w:sz w:val="20"/>
          <w:szCs w:val="20"/>
        </w:rPr>
      </w:pPr>
      <w:r w:rsidRPr="006207C9">
        <w:rPr>
          <w:rFonts w:ascii="Arial" w:hAnsi="Arial" w:cs="Arial"/>
          <w:color w:val="000000"/>
          <w:sz w:val="20"/>
          <w:szCs w:val="20"/>
        </w:rPr>
        <w:t xml:space="preserve">Scottish Renewables recently commissioned </w:t>
      </w:r>
      <w:r w:rsidR="00DE6C2B" w:rsidRPr="006207C9">
        <w:rPr>
          <w:rFonts w:ascii="Arial" w:hAnsi="Arial" w:cs="Arial"/>
          <w:color w:val="000000"/>
          <w:sz w:val="20"/>
          <w:szCs w:val="20"/>
        </w:rPr>
        <w:t>research</w:t>
      </w:r>
      <w:r w:rsidR="00DE6C2B">
        <w:rPr>
          <w:rStyle w:val="FootnoteReference"/>
          <w:rFonts w:ascii="Arial" w:hAnsi="Arial" w:cs="Arial"/>
          <w:color w:val="000000"/>
          <w:sz w:val="20"/>
          <w:szCs w:val="20"/>
        </w:rPr>
        <w:footnoteReference w:id="13"/>
      </w:r>
      <w:r w:rsidRPr="006207C9">
        <w:rPr>
          <w:rFonts w:ascii="Arial" w:hAnsi="Arial" w:cs="Arial"/>
          <w:color w:val="000000"/>
          <w:sz w:val="20"/>
          <w:szCs w:val="20"/>
        </w:rPr>
        <w:t xml:space="preserve"> with Cornwall Insight </w:t>
      </w:r>
      <w:r>
        <w:rPr>
          <w:rFonts w:ascii="Arial" w:hAnsi="Arial" w:cs="Arial"/>
          <w:color w:val="000000"/>
          <w:sz w:val="20"/>
          <w:szCs w:val="20"/>
        </w:rPr>
        <w:t>to look at these differentials in more detail</w:t>
      </w:r>
      <w:r w:rsidR="00DE6C2B">
        <w:rPr>
          <w:rFonts w:ascii="Arial" w:hAnsi="Arial" w:cs="Arial"/>
          <w:color w:val="000000"/>
          <w:sz w:val="20"/>
          <w:szCs w:val="20"/>
        </w:rPr>
        <w:t xml:space="preserve">. The modelling identified that the disparity in charges between England &amp; Wales (E&amp;W) and </w:t>
      </w:r>
      <w:r w:rsidR="00DE6C2B">
        <w:rPr>
          <w:rFonts w:ascii="Arial" w:hAnsi="Arial" w:cs="Arial"/>
          <w:color w:val="000000"/>
          <w:sz w:val="20"/>
          <w:szCs w:val="20"/>
        </w:rPr>
        <w:lastRenderedPageBreak/>
        <w:t>Scotland are significant</w:t>
      </w:r>
      <w:r w:rsidR="009C2D6D">
        <w:rPr>
          <w:rFonts w:ascii="Arial" w:hAnsi="Arial" w:cs="Arial"/>
          <w:color w:val="000000"/>
          <w:sz w:val="20"/>
          <w:szCs w:val="20"/>
        </w:rPr>
        <w:t>,</w:t>
      </w:r>
      <w:r w:rsidR="00DE6C2B">
        <w:rPr>
          <w:rFonts w:ascii="Arial" w:hAnsi="Arial" w:cs="Arial"/>
          <w:color w:val="000000"/>
          <w:sz w:val="20"/>
          <w:szCs w:val="20"/>
        </w:rPr>
        <w:t xml:space="preserve"> being greatest for onshore wind</w:t>
      </w:r>
      <w:r w:rsidR="009C2D6D">
        <w:rPr>
          <w:rFonts w:ascii="Arial" w:hAnsi="Arial" w:cs="Arial"/>
          <w:color w:val="000000"/>
          <w:sz w:val="20"/>
          <w:szCs w:val="20"/>
        </w:rPr>
        <w:t>,</w:t>
      </w:r>
      <w:r w:rsidR="00DE6C2B">
        <w:rPr>
          <w:rFonts w:ascii="Arial" w:hAnsi="Arial" w:cs="Arial"/>
          <w:color w:val="000000"/>
          <w:sz w:val="20"/>
          <w:szCs w:val="20"/>
        </w:rPr>
        <w:t xml:space="preserve"> but still high for solar and hydro</w:t>
      </w:r>
      <w:r w:rsidR="009C2D6D">
        <w:rPr>
          <w:rFonts w:ascii="Arial" w:hAnsi="Arial" w:cs="Arial"/>
          <w:color w:val="000000"/>
          <w:sz w:val="20"/>
          <w:szCs w:val="20"/>
        </w:rPr>
        <w:t xml:space="preserve">. </w:t>
      </w:r>
      <w:r w:rsidR="009E0B84">
        <w:rPr>
          <w:rFonts w:ascii="Arial" w:hAnsi="Arial" w:cs="Arial"/>
          <w:color w:val="000000"/>
          <w:sz w:val="20"/>
          <w:szCs w:val="20"/>
        </w:rPr>
        <w:t>The o</w:t>
      </w:r>
      <w:r w:rsidR="009C2D6D">
        <w:rPr>
          <w:rFonts w:ascii="Arial" w:hAnsi="Arial" w:cs="Arial"/>
          <w:color w:val="000000"/>
          <w:sz w:val="20"/>
          <w:szCs w:val="20"/>
        </w:rPr>
        <w:t>verall difference for</w:t>
      </w:r>
      <w:r w:rsidR="002F237B">
        <w:rPr>
          <w:rFonts w:ascii="Arial" w:hAnsi="Arial" w:cs="Arial"/>
          <w:color w:val="000000"/>
          <w:sz w:val="20"/>
          <w:szCs w:val="20"/>
        </w:rPr>
        <w:t xml:space="preserve"> a 40MW onshore wind site in</w:t>
      </w:r>
      <w:r w:rsidR="009C2D6D">
        <w:rPr>
          <w:rFonts w:ascii="Arial" w:hAnsi="Arial" w:cs="Arial"/>
          <w:color w:val="000000"/>
          <w:sz w:val="20"/>
          <w:szCs w:val="20"/>
        </w:rPr>
        <w:t xml:space="preserve"> Scotland </w:t>
      </w:r>
      <w:r w:rsidR="009E0B84">
        <w:rPr>
          <w:rFonts w:ascii="Arial" w:hAnsi="Arial" w:cs="Arial"/>
          <w:color w:val="000000"/>
          <w:sz w:val="20"/>
          <w:szCs w:val="20"/>
        </w:rPr>
        <w:t>was</w:t>
      </w:r>
      <w:r w:rsidR="009C2D6D">
        <w:rPr>
          <w:rFonts w:ascii="Arial" w:hAnsi="Arial" w:cs="Arial"/>
          <w:color w:val="000000"/>
          <w:sz w:val="20"/>
          <w:szCs w:val="20"/>
        </w:rPr>
        <w:t xml:space="preserve"> shown to be </w:t>
      </w:r>
      <w:r w:rsidR="009C2D6D" w:rsidRPr="009C2D6D">
        <w:rPr>
          <w:rFonts w:ascii="Arial" w:hAnsi="Arial" w:cs="Arial"/>
          <w:color w:val="000000"/>
          <w:sz w:val="20"/>
          <w:szCs w:val="20"/>
        </w:rPr>
        <w:t>£1m</w:t>
      </w:r>
      <w:r w:rsidR="009C2D6D">
        <w:rPr>
          <w:rFonts w:ascii="Arial" w:hAnsi="Arial" w:cs="Arial"/>
          <w:color w:val="000000"/>
          <w:sz w:val="20"/>
          <w:szCs w:val="20"/>
        </w:rPr>
        <w:t xml:space="preserve"> higher than </w:t>
      </w:r>
      <w:r w:rsidR="002F237B">
        <w:rPr>
          <w:rFonts w:ascii="Arial" w:hAnsi="Arial" w:cs="Arial"/>
          <w:color w:val="000000"/>
          <w:sz w:val="20"/>
          <w:szCs w:val="20"/>
        </w:rPr>
        <w:t xml:space="preserve">in </w:t>
      </w:r>
      <w:r w:rsidR="009C2D6D">
        <w:rPr>
          <w:rFonts w:ascii="Arial" w:hAnsi="Arial" w:cs="Arial"/>
          <w:color w:val="000000"/>
          <w:sz w:val="20"/>
          <w:szCs w:val="20"/>
        </w:rPr>
        <w:t>E&amp;W</w:t>
      </w:r>
      <w:r w:rsidR="00DE6C2B">
        <w:rPr>
          <w:rFonts w:ascii="Arial" w:hAnsi="Arial" w:cs="Arial"/>
          <w:color w:val="000000"/>
          <w:sz w:val="20"/>
          <w:szCs w:val="20"/>
        </w:rPr>
        <w:t>.</w:t>
      </w:r>
      <w:r w:rsidR="003F5127">
        <w:rPr>
          <w:rFonts w:ascii="Arial" w:hAnsi="Arial" w:cs="Arial"/>
          <w:color w:val="000000"/>
          <w:sz w:val="20"/>
          <w:szCs w:val="20"/>
        </w:rPr>
        <w:t xml:space="preserve"> </w:t>
      </w:r>
      <w:r w:rsidR="00DE6C2B">
        <w:rPr>
          <w:rFonts w:ascii="Arial" w:hAnsi="Arial" w:cs="Arial"/>
          <w:color w:val="000000"/>
          <w:sz w:val="20"/>
          <w:szCs w:val="20"/>
        </w:rPr>
        <w:t xml:space="preserve">The </w:t>
      </w:r>
      <w:r w:rsidR="003F5127">
        <w:rPr>
          <w:rFonts w:ascii="Arial" w:hAnsi="Arial" w:cs="Arial"/>
          <w:color w:val="000000"/>
          <w:sz w:val="20"/>
          <w:szCs w:val="20"/>
        </w:rPr>
        <w:t>figure</w:t>
      </w:r>
      <w:r w:rsidR="00DE6C2B">
        <w:rPr>
          <w:rFonts w:ascii="Arial" w:hAnsi="Arial" w:cs="Arial"/>
          <w:color w:val="000000"/>
          <w:sz w:val="20"/>
          <w:szCs w:val="20"/>
        </w:rPr>
        <w:t xml:space="preserve"> below illustrate</w:t>
      </w:r>
      <w:r w:rsidR="0017317B">
        <w:rPr>
          <w:rFonts w:ascii="Arial" w:hAnsi="Arial" w:cs="Arial"/>
          <w:color w:val="000000"/>
          <w:sz w:val="20"/>
          <w:szCs w:val="20"/>
        </w:rPr>
        <w:t>s</w:t>
      </w:r>
      <w:r w:rsidR="00DE6C2B">
        <w:rPr>
          <w:rFonts w:ascii="Arial" w:hAnsi="Arial" w:cs="Arial"/>
          <w:color w:val="000000"/>
          <w:sz w:val="20"/>
          <w:szCs w:val="20"/>
        </w:rPr>
        <w:t xml:space="preserve"> this in more detail.</w:t>
      </w:r>
    </w:p>
    <w:p w14:paraId="779465AC" w14:textId="77777777" w:rsidR="00D93B32" w:rsidRPr="00D93B32" w:rsidRDefault="00D93B32" w:rsidP="003E4954">
      <w:pPr>
        <w:autoSpaceDE w:val="0"/>
        <w:autoSpaceDN w:val="0"/>
        <w:adjustRightInd w:val="0"/>
        <w:spacing w:after="0"/>
        <w:jc w:val="both"/>
        <w:rPr>
          <w:rFonts w:ascii="Arial" w:hAnsi="Arial" w:cs="Arial"/>
          <w:color w:val="000000"/>
          <w:sz w:val="20"/>
          <w:szCs w:val="20"/>
        </w:rPr>
      </w:pPr>
    </w:p>
    <w:p w14:paraId="7C84602B" w14:textId="7CF981E3" w:rsidR="003E4954" w:rsidRDefault="00DE6C2B" w:rsidP="00DE6C2B">
      <w:pPr>
        <w:autoSpaceDE w:val="0"/>
        <w:autoSpaceDN w:val="0"/>
        <w:adjustRightInd w:val="0"/>
        <w:spacing w:after="0"/>
        <w:jc w:val="center"/>
        <w:rPr>
          <w:rFonts w:ascii="Arial" w:hAnsi="Arial" w:cs="Arial"/>
          <w:color w:val="000000"/>
          <w:sz w:val="20"/>
          <w:szCs w:val="20"/>
        </w:rPr>
      </w:pPr>
      <w:r>
        <w:rPr>
          <w:noProof/>
        </w:rPr>
        <w:drawing>
          <wp:inline distT="0" distB="0" distL="0" distR="0" wp14:anchorId="4CD28A79" wp14:editId="44172391">
            <wp:extent cx="4181345" cy="2499756"/>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5"/>
                    <a:stretch>
                      <a:fillRect/>
                    </a:stretch>
                  </pic:blipFill>
                  <pic:spPr>
                    <a:xfrm>
                      <a:off x="0" y="0"/>
                      <a:ext cx="4189213" cy="2504460"/>
                    </a:xfrm>
                    <a:prstGeom prst="rect">
                      <a:avLst/>
                    </a:prstGeom>
                  </pic:spPr>
                </pic:pic>
              </a:graphicData>
            </a:graphic>
          </wp:inline>
        </w:drawing>
      </w:r>
    </w:p>
    <w:p w14:paraId="0AA83B6B" w14:textId="52A33C07" w:rsidR="00DE6C2B" w:rsidRPr="006207C9" w:rsidRDefault="00DE6C2B" w:rsidP="00DE6C2B">
      <w:pPr>
        <w:autoSpaceDE w:val="0"/>
        <w:autoSpaceDN w:val="0"/>
        <w:adjustRightInd w:val="0"/>
        <w:spacing w:after="0"/>
        <w:jc w:val="center"/>
        <w:rPr>
          <w:rFonts w:cs="Arial"/>
          <w:sz w:val="18"/>
          <w:szCs w:val="18"/>
        </w:rPr>
      </w:pPr>
      <w:r w:rsidRPr="006207C9">
        <w:rPr>
          <w:rFonts w:cs="Arial"/>
          <w:sz w:val="18"/>
          <w:szCs w:val="18"/>
        </w:rPr>
        <w:t>Figure</w:t>
      </w:r>
      <w:r>
        <w:rPr>
          <w:rFonts w:cs="Arial"/>
          <w:sz w:val="18"/>
          <w:szCs w:val="18"/>
        </w:rPr>
        <w:t xml:space="preserve"> </w:t>
      </w:r>
      <w:r w:rsidRPr="006207C9">
        <w:rPr>
          <w:rFonts w:cs="Arial"/>
          <w:sz w:val="18"/>
          <w:szCs w:val="18"/>
        </w:rPr>
        <w:t>1:</w:t>
      </w:r>
      <w:r w:rsidR="00AD2801">
        <w:rPr>
          <w:rFonts w:cs="Arial"/>
          <w:sz w:val="18"/>
          <w:szCs w:val="18"/>
        </w:rPr>
        <w:t xml:space="preserve"> Cornwall Insight.</w:t>
      </w:r>
      <w:r w:rsidRPr="006207C9">
        <w:rPr>
          <w:rFonts w:cs="Arial"/>
          <w:sz w:val="18"/>
          <w:szCs w:val="18"/>
        </w:rPr>
        <w:t xml:space="preserve"> Modelled network charges for 40MW 132kV wind, solar and hydro,</w:t>
      </w:r>
    </w:p>
    <w:p w14:paraId="72FC305D" w14:textId="51F3CA11" w:rsidR="00DE6C2B" w:rsidRPr="006207C9" w:rsidRDefault="00DE6C2B" w:rsidP="00DE6C2B">
      <w:pPr>
        <w:autoSpaceDE w:val="0"/>
        <w:autoSpaceDN w:val="0"/>
        <w:adjustRightInd w:val="0"/>
        <w:spacing w:after="0"/>
        <w:jc w:val="center"/>
        <w:rPr>
          <w:rFonts w:cs="Arial"/>
          <w:sz w:val="18"/>
          <w:szCs w:val="18"/>
        </w:rPr>
      </w:pPr>
      <w:r w:rsidRPr="006207C9">
        <w:rPr>
          <w:rFonts w:cs="Arial"/>
          <w:sz w:val="18"/>
          <w:szCs w:val="18"/>
        </w:rPr>
        <w:t>2021</w:t>
      </w:r>
      <w:r>
        <w:rPr>
          <w:rFonts w:cs="Arial"/>
          <w:sz w:val="18"/>
          <w:szCs w:val="18"/>
        </w:rPr>
        <w:t>-</w:t>
      </w:r>
      <w:r w:rsidRPr="006207C9">
        <w:rPr>
          <w:rFonts w:cs="Arial"/>
          <w:sz w:val="18"/>
          <w:szCs w:val="18"/>
        </w:rPr>
        <w:t>22 (£</w:t>
      </w:r>
      <w:proofErr w:type="spellStart"/>
      <w:r w:rsidRPr="006207C9">
        <w:rPr>
          <w:rFonts w:cs="Arial"/>
          <w:sz w:val="18"/>
          <w:szCs w:val="18"/>
        </w:rPr>
        <w:t>mn</w:t>
      </w:r>
      <w:proofErr w:type="spellEnd"/>
      <w:r w:rsidRPr="006207C9">
        <w:rPr>
          <w:rFonts w:cs="Arial"/>
          <w:sz w:val="18"/>
          <w:szCs w:val="18"/>
        </w:rPr>
        <w:t>)</w:t>
      </w:r>
    </w:p>
    <w:p w14:paraId="4FD85E57" w14:textId="77777777" w:rsidR="00DE6C2B" w:rsidRDefault="00DE6C2B" w:rsidP="00DE6C2B">
      <w:pPr>
        <w:autoSpaceDE w:val="0"/>
        <w:autoSpaceDN w:val="0"/>
        <w:adjustRightInd w:val="0"/>
        <w:spacing w:after="0"/>
        <w:jc w:val="both"/>
        <w:rPr>
          <w:rFonts w:cs="Arial"/>
          <w:b/>
          <w:bCs/>
          <w:sz w:val="20"/>
          <w:szCs w:val="20"/>
        </w:rPr>
      </w:pPr>
    </w:p>
    <w:p w14:paraId="59BF20B4" w14:textId="177AE4B3" w:rsidR="00991C93" w:rsidRDefault="00991C93" w:rsidP="00002CE2">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We believe that this </w:t>
      </w:r>
      <w:r w:rsidRPr="00991C93">
        <w:rPr>
          <w:rFonts w:ascii="Arial" w:hAnsi="Arial" w:cs="Arial"/>
          <w:color w:val="000000"/>
          <w:sz w:val="20"/>
          <w:szCs w:val="20"/>
        </w:rPr>
        <w:t xml:space="preserve">disproportionately disadvantages Scottish </w:t>
      </w:r>
      <w:r w:rsidR="002F237B">
        <w:rPr>
          <w:rFonts w:ascii="Arial" w:hAnsi="Arial" w:cs="Arial"/>
          <w:color w:val="000000"/>
          <w:sz w:val="20"/>
          <w:szCs w:val="20"/>
        </w:rPr>
        <w:t>Users</w:t>
      </w:r>
      <w:r>
        <w:rPr>
          <w:rFonts w:ascii="Arial" w:hAnsi="Arial" w:cs="Arial"/>
          <w:color w:val="000000"/>
          <w:sz w:val="20"/>
          <w:szCs w:val="20"/>
        </w:rPr>
        <w:t xml:space="preserve">, </w:t>
      </w:r>
      <w:r w:rsidR="006707F3">
        <w:rPr>
          <w:rFonts w:ascii="Arial" w:hAnsi="Arial" w:cs="Arial"/>
          <w:color w:val="000000"/>
          <w:sz w:val="20"/>
          <w:szCs w:val="20"/>
        </w:rPr>
        <w:t xml:space="preserve">a </w:t>
      </w:r>
      <w:r>
        <w:rPr>
          <w:rFonts w:ascii="Arial" w:hAnsi="Arial" w:cs="Arial"/>
          <w:color w:val="000000"/>
          <w:sz w:val="20"/>
          <w:szCs w:val="20"/>
        </w:rPr>
        <w:t>situation which is made worse</w:t>
      </w:r>
      <w:r w:rsidRPr="00991C93">
        <w:rPr>
          <w:rFonts w:ascii="Arial" w:hAnsi="Arial" w:cs="Arial"/>
          <w:color w:val="000000"/>
          <w:sz w:val="20"/>
          <w:szCs w:val="20"/>
        </w:rPr>
        <w:t xml:space="preserve"> under new arrangements in </w:t>
      </w:r>
      <w:r w:rsidR="002F237B">
        <w:rPr>
          <w:rFonts w:ascii="Arial" w:hAnsi="Arial" w:cs="Arial"/>
          <w:color w:val="000000"/>
          <w:sz w:val="20"/>
          <w:szCs w:val="20"/>
        </w:rPr>
        <w:t xml:space="preserve">the positioning of the </w:t>
      </w:r>
      <w:r w:rsidRPr="00991C93">
        <w:rPr>
          <w:rFonts w:ascii="Arial" w:hAnsi="Arial" w:cs="Arial"/>
          <w:color w:val="000000"/>
          <w:sz w:val="20"/>
          <w:szCs w:val="20"/>
        </w:rPr>
        <w:t xml:space="preserve">connection boundary proposed in the recent “Minded </w:t>
      </w:r>
      <w:proofErr w:type="gramStart"/>
      <w:r w:rsidRPr="00991C93">
        <w:rPr>
          <w:rFonts w:ascii="Arial" w:hAnsi="Arial" w:cs="Arial"/>
          <w:color w:val="000000"/>
          <w:sz w:val="20"/>
          <w:szCs w:val="20"/>
        </w:rPr>
        <w:t>to Position</w:t>
      </w:r>
      <w:proofErr w:type="gramEnd"/>
      <w:r w:rsidRPr="00991C93">
        <w:rPr>
          <w:rFonts w:ascii="Arial" w:hAnsi="Arial" w:cs="Arial"/>
          <w:color w:val="000000"/>
          <w:sz w:val="20"/>
          <w:szCs w:val="20"/>
        </w:rPr>
        <w:t xml:space="preserve"> consultation”. </w:t>
      </w:r>
      <w:r>
        <w:rPr>
          <w:rFonts w:ascii="Arial" w:hAnsi="Arial" w:cs="Arial"/>
          <w:color w:val="000000"/>
          <w:sz w:val="20"/>
          <w:szCs w:val="20"/>
        </w:rPr>
        <w:t xml:space="preserve">Where Ofgem is proposing to </w:t>
      </w:r>
      <w:r w:rsidRPr="00991C93">
        <w:rPr>
          <w:rFonts w:ascii="Arial" w:hAnsi="Arial" w:cs="Arial"/>
          <w:color w:val="000000"/>
          <w:sz w:val="20"/>
          <w:szCs w:val="20"/>
        </w:rPr>
        <w:t>recover the costs associated with transmission that are triggered by a distribution connection</w:t>
      </w:r>
      <w:r w:rsidR="00002CE2">
        <w:rPr>
          <w:rFonts w:ascii="Arial" w:hAnsi="Arial" w:cs="Arial"/>
          <w:color w:val="000000"/>
          <w:sz w:val="20"/>
          <w:szCs w:val="20"/>
        </w:rPr>
        <w:t xml:space="preserve"> </w:t>
      </w:r>
      <w:r w:rsidR="00002CE2" w:rsidRPr="00002CE2">
        <w:rPr>
          <w:rFonts w:ascii="Arial" w:hAnsi="Arial" w:cs="Arial"/>
          <w:color w:val="000000"/>
          <w:sz w:val="20"/>
          <w:szCs w:val="20"/>
        </w:rPr>
        <w:t>– in England &amp; Wales this connection will receive no reinforcement cost signal whereas in Scotland the user will be liable for the full cost in advance for the 132kV substation reinforcement. This distortion already exists but is made worse by the proposed change in connection boundary. Acknowledging the SHEPD and SPD “DG heat maps”, it can be seen that a significant majority of 132kV “GSP</w:t>
      </w:r>
      <w:r w:rsidR="002F237B">
        <w:rPr>
          <w:rStyle w:val="FootnoteReference"/>
          <w:rFonts w:ascii="Arial" w:hAnsi="Arial" w:cs="Arial"/>
          <w:color w:val="000000"/>
          <w:sz w:val="20"/>
          <w:szCs w:val="20"/>
        </w:rPr>
        <w:footnoteReference w:id="14"/>
      </w:r>
      <w:r w:rsidR="00002CE2" w:rsidRPr="00002CE2">
        <w:rPr>
          <w:rFonts w:ascii="Arial" w:hAnsi="Arial" w:cs="Arial"/>
          <w:color w:val="000000"/>
          <w:sz w:val="20"/>
          <w:szCs w:val="20"/>
        </w:rPr>
        <w:t xml:space="preserve">” substations across Scotland are close to or at their capacity to accommodate further generation, which means that this problem </w:t>
      </w:r>
      <w:r w:rsidR="00002CE2" w:rsidRPr="008B0852">
        <w:rPr>
          <w:rFonts w:ascii="Arial" w:hAnsi="Arial" w:cs="Arial"/>
          <w:color w:val="000000"/>
          <w:sz w:val="20"/>
          <w:szCs w:val="20"/>
        </w:rPr>
        <w:t xml:space="preserve">is </w:t>
      </w:r>
      <w:r w:rsidR="00231ABD" w:rsidRPr="008B0852">
        <w:rPr>
          <w:rFonts w:ascii="Arial" w:hAnsi="Arial" w:cs="Arial"/>
          <w:color w:val="000000"/>
          <w:sz w:val="20"/>
          <w:szCs w:val="20"/>
        </w:rPr>
        <w:t>substantial.</w:t>
      </w:r>
    </w:p>
    <w:p w14:paraId="5341D399" w14:textId="77777777" w:rsidR="00991C93" w:rsidRDefault="00991C93" w:rsidP="00DE6C2B">
      <w:pPr>
        <w:autoSpaceDE w:val="0"/>
        <w:autoSpaceDN w:val="0"/>
        <w:adjustRightInd w:val="0"/>
        <w:spacing w:after="0"/>
        <w:rPr>
          <w:rFonts w:ascii="Arial" w:hAnsi="Arial" w:cs="Arial"/>
          <w:color w:val="000000"/>
          <w:sz w:val="20"/>
          <w:szCs w:val="20"/>
        </w:rPr>
      </w:pPr>
    </w:p>
    <w:p w14:paraId="1226A789" w14:textId="3EA0CA3D" w:rsidR="006207C9" w:rsidRPr="00AD2801" w:rsidRDefault="00991C93" w:rsidP="00C11D2C">
      <w:pPr>
        <w:autoSpaceDE w:val="0"/>
        <w:autoSpaceDN w:val="0"/>
        <w:adjustRightInd w:val="0"/>
        <w:spacing w:after="0"/>
        <w:jc w:val="both"/>
        <w:rPr>
          <w:rFonts w:ascii="Arial" w:hAnsi="Arial" w:cs="Arial"/>
          <w:color w:val="000000"/>
          <w:sz w:val="20"/>
          <w:szCs w:val="20"/>
        </w:rPr>
      </w:pPr>
      <w:r w:rsidRPr="00991C93">
        <w:rPr>
          <w:rFonts w:ascii="Arial" w:hAnsi="Arial" w:cs="Arial"/>
          <w:color w:val="000000"/>
          <w:sz w:val="20"/>
          <w:szCs w:val="20"/>
        </w:rPr>
        <w:t>Additionally, if code modification</w:t>
      </w:r>
      <w:r w:rsidR="00661D4D">
        <w:rPr>
          <w:rFonts w:ascii="Arial" w:hAnsi="Arial" w:cs="Arial"/>
          <w:color w:val="000000"/>
          <w:sz w:val="20"/>
          <w:szCs w:val="20"/>
        </w:rPr>
        <w:t>s</w:t>
      </w:r>
      <w:r w:rsidRPr="00991C93">
        <w:rPr>
          <w:rFonts w:ascii="Arial" w:hAnsi="Arial" w:cs="Arial"/>
          <w:color w:val="000000"/>
          <w:sz w:val="20"/>
          <w:szCs w:val="20"/>
        </w:rPr>
        <w:t xml:space="preserve"> CMP315</w:t>
      </w:r>
      <w:r>
        <w:rPr>
          <w:rFonts w:ascii="Arial" w:hAnsi="Arial" w:cs="Arial"/>
          <w:color w:val="000000"/>
          <w:sz w:val="20"/>
          <w:szCs w:val="20"/>
        </w:rPr>
        <w:t xml:space="preserve"> and CMP375</w:t>
      </w:r>
      <w:r w:rsidRPr="00991C93">
        <w:rPr>
          <w:rFonts w:ascii="Arial" w:hAnsi="Arial" w:cs="Arial"/>
          <w:color w:val="000000"/>
          <w:sz w:val="20"/>
          <w:szCs w:val="20"/>
        </w:rPr>
        <w:t xml:space="preserve"> progress unfavourably, charges for 132kV connected generators in Scotland will increase </w:t>
      </w:r>
      <w:r>
        <w:rPr>
          <w:rFonts w:ascii="Arial" w:hAnsi="Arial" w:cs="Arial"/>
          <w:color w:val="000000"/>
          <w:sz w:val="20"/>
          <w:szCs w:val="20"/>
        </w:rPr>
        <w:t>significantly more</w:t>
      </w:r>
      <w:r w:rsidRPr="00991C93">
        <w:rPr>
          <w:rFonts w:ascii="Arial" w:hAnsi="Arial" w:cs="Arial"/>
          <w:color w:val="000000"/>
          <w:sz w:val="20"/>
          <w:szCs w:val="20"/>
        </w:rPr>
        <w:t>.</w:t>
      </w:r>
    </w:p>
    <w:p w14:paraId="47F769E3" w14:textId="3DBB15DF" w:rsidR="00F166A6" w:rsidRDefault="00F166A6" w:rsidP="003862CB">
      <w:pPr>
        <w:pStyle w:val="NormalWeb"/>
        <w:spacing w:before="0" w:beforeAutospacing="0" w:after="0" w:afterAutospacing="0" w:line="276" w:lineRule="auto"/>
        <w:jc w:val="both"/>
        <w:rPr>
          <w:rFonts w:ascii="Arial" w:hAnsi="Arial" w:cs="Arial"/>
          <w:b/>
          <w:bCs/>
          <w:sz w:val="20"/>
          <w:szCs w:val="20"/>
        </w:rPr>
      </w:pPr>
    </w:p>
    <w:p w14:paraId="6FE76947" w14:textId="4589D9F9" w:rsidR="00F166A6" w:rsidRDefault="004054B0" w:rsidP="00AE275E">
      <w:pPr>
        <w:pStyle w:val="NormalWeb"/>
        <w:numPr>
          <w:ilvl w:val="1"/>
          <w:numId w:val="27"/>
        </w:numPr>
        <w:spacing w:before="0" w:beforeAutospacing="0" w:after="0" w:afterAutospacing="0" w:line="276" w:lineRule="auto"/>
        <w:jc w:val="both"/>
        <w:rPr>
          <w:rFonts w:ascii="Arial" w:hAnsi="Arial" w:cs="Arial"/>
          <w:b/>
          <w:bCs/>
          <w:sz w:val="20"/>
          <w:szCs w:val="20"/>
        </w:rPr>
      </w:pPr>
      <w:r>
        <w:rPr>
          <w:rFonts w:ascii="Arial" w:hAnsi="Arial" w:cs="Arial"/>
          <w:b/>
          <w:bCs/>
          <w:sz w:val="20"/>
          <w:szCs w:val="20"/>
        </w:rPr>
        <w:t>Recognition of g</w:t>
      </w:r>
      <w:r w:rsidR="00D127BD">
        <w:rPr>
          <w:rFonts w:ascii="Arial" w:hAnsi="Arial" w:cs="Arial"/>
          <w:b/>
          <w:bCs/>
          <w:sz w:val="20"/>
          <w:szCs w:val="20"/>
        </w:rPr>
        <w:t>eographic diversity of renewables</w:t>
      </w:r>
    </w:p>
    <w:p w14:paraId="3C9304AA" w14:textId="77777777" w:rsidR="00982CB9" w:rsidRDefault="00982CB9" w:rsidP="00982CB9">
      <w:pPr>
        <w:autoSpaceDE w:val="0"/>
        <w:autoSpaceDN w:val="0"/>
        <w:adjustRightInd w:val="0"/>
        <w:spacing w:after="0"/>
        <w:jc w:val="both"/>
        <w:rPr>
          <w:rFonts w:cs="Arial"/>
          <w:color w:val="000000"/>
          <w:sz w:val="20"/>
          <w:szCs w:val="20"/>
        </w:rPr>
      </w:pPr>
    </w:p>
    <w:p w14:paraId="177A2AC1" w14:textId="38C9A806" w:rsidR="00A22239" w:rsidRDefault="000654B3" w:rsidP="00982CB9">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The current charging regime is designed to incentivise generators to locate close to the demand</w:t>
      </w:r>
      <w:r w:rsidR="000B15DD">
        <w:rPr>
          <w:rFonts w:ascii="Arial" w:hAnsi="Arial" w:cs="Arial"/>
          <w:color w:val="000000"/>
          <w:sz w:val="20"/>
          <w:szCs w:val="20"/>
        </w:rPr>
        <w:t>.  In a fossil-fuel based system where fuel can be transported to generation sites, this make</w:t>
      </w:r>
      <w:r w:rsidR="002F237B">
        <w:rPr>
          <w:rFonts w:ascii="Arial" w:hAnsi="Arial" w:cs="Arial"/>
          <w:color w:val="000000"/>
          <w:sz w:val="20"/>
          <w:szCs w:val="20"/>
        </w:rPr>
        <w:t>s some</w:t>
      </w:r>
      <w:r w:rsidR="000B15DD">
        <w:rPr>
          <w:rFonts w:ascii="Arial" w:hAnsi="Arial" w:cs="Arial"/>
          <w:color w:val="000000"/>
          <w:sz w:val="20"/>
          <w:szCs w:val="20"/>
        </w:rPr>
        <w:t xml:space="preserve"> sense, in a </w:t>
      </w:r>
      <w:r w:rsidR="00CB2E93">
        <w:rPr>
          <w:rFonts w:ascii="Arial" w:hAnsi="Arial" w:cs="Arial"/>
          <w:color w:val="000000"/>
          <w:sz w:val="20"/>
          <w:szCs w:val="20"/>
        </w:rPr>
        <w:t>renewables-based</w:t>
      </w:r>
      <w:r w:rsidR="000B15DD">
        <w:rPr>
          <w:rFonts w:ascii="Arial" w:hAnsi="Arial" w:cs="Arial"/>
          <w:color w:val="000000"/>
          <w:sz w:val="20"/>
          <w:szCs w:val="20"/>
        </w:rPr>
        <w:t xml:space="preserve"> system where generation location is dictated by resource and </w:t>
      </w:r>
      <w:r w:rsidR="005A1AF4">
        <w:rPr>
          <w:rFonts w:ascii="Arial" w:hAnsi="Arial" w:cs="Arial"/>
          <w:color w:val="000000"/>
          <w:sz w:val="20"/>
          <w:szCs w:val="20"/>
        </w:rPr>
        <w:t>site</w:t>
      </w:r>
      <w:r w:rsidR="000B15DD">
        <w:rPr>
          <w:rFonts w:ascii="Arial" w:hAnsi="Arial" w:cs="Arial"/>
          <w:color w:val="000000"/>
          <w:sz w:val="20"/>
          <w:szCs w:val="20"/>
        </w:rPr>
        <w:t xml:space="preserve"> availability, it does not.</w:t>
      </w:r>
      <w:r w:rsidR="00CB2E93">
        <w:rPr>
          <w:rFonts w:ascii="Arial" w:hAnsi="Arial" w:cs="Arial"/>
          <w:color w:val="000000"/>
          <w:sz w:val="20"/>
          <w:szCs w:val="20"/>
        </w:rPr>
        <w:t xml:space="preserve"> </w:t>
      </w:r>
      <w:r w:rsidR="000B15DD">
        <w:rPr>
          <w:rFonts w:ascii="Arial" w:hAnsi="Arial" w:cs="Arial"/>
          <w:color w:val="000000"/>
          <w:sz w:val="20"/>
          <w:szCs w:val="20"/>
        </w:rPr>
        <w:t>The current</w:t>
      </w:r>
      <w:r w:rsidR="00A22239" w:rsidRPr="00A22239">
        <w:rPr>
          <w:rFonts w:ascii="Arial" w:hAnsi="Arial" w:cs="Arial"/>
          <w:color w:val="000000"/>
          <w:sz w:val="20"/>
          <w:szCs w:val="20"/>
        </w:rPr>
        <w:t xml:space="preserve"> system is incompatible with the decentralised energy system of the future that the UK Government envisioned in the 2020 Energy White Paper</w:t>
      </w:r>
      <w:r w:rsidR="00A22239">
        <w:rPr>
          <w:rStyle w:val="FootnoteReference"/>
          <w:rFonts w:ascii="Arial" w:hAnsi="Arial" w:cs="Arial"/>
          <w:color w:val="000000"/>
          <w:sz w:val="20"/>
          <w:szCs w:val="20"/>
        </w:rPr>
        <w:footnoteReference w:id="15"/>
      </w:r>
      <w:r w:rsidR="00A22239" w:rsidRPr="00A22239">
        <w:rPr>
          <w:rFonts w:ascii="Arial" w:hAnsi="Arial" w:cs="Arial"/>
          <w:color w:val="000000"/>
          <w:sz w:val="20"/>
          <w:szCs w:val="20"/>
        </w:rPr>
        <w:t>. Regulation does not exist separate to policy. If the Government’s preference is to increase and decentralise the deployment of cost-effective renewables and flexibility as a key element of achieving the net</w:t>
      </w:r>
      <w:r w:rsidR="00D21176">
        <w:rPr>
          <w:rFonts w:ascii="Arial" w:hAnsi="Arial" w:cs="Arial"/>
          <w:color w:val="000000"/>
          <w:sz w:val="20"/>
          <w:szCs w:val="20"/>
        </w:rPr>
        <w:t xml:space="preserve"> </w:t>
      </w:r>
      <w:r w:rsidR="00A22239" w:rsidRPr="00A22239">
        <w:rPr>
          <w:rFonts w:ascii="Arial" w:hAnsi="Arial" w:cs="Arial"/>
          <w:color w:val="000000"/>
          <w:sz w:val="20"/>
          <w:szCs w:val="20"/>
        </w:rPr>
        <w:t>zero target, regulatory processes and the charging regime must not constrain this.</w:t>
      </w:r>
    </w:p>
    <w:p w14:paraId="1DF42214" w14:textId="77777777" w:rsidR="00A22239" w:rsidRDefault="00A22239" w:rsidP="00982CB9">
      <w:pPr>
        <w:autoSpaceDE w:val="0"/>
        <w:autoSpaceDN w:val="0"/>
        <w:adjustRightInd w:val="0"/>
        <w:spacing w:after="0"/>
        <w:jc w:val="both"/>
        <w:rPr>
          <w:rFonts w:ascii="Arial" w:hAnsi="Arial" w:cs="Arial"/>
          <w:color w:val="000000"/>
          <w:sz w:val="20"/>
          <w:szCs w:val="20"/>
        </w:rPr>
      </w:pPr>
    </w:p>
    <w:p w14:paraId="54195713" w14:textId="70077D80" w:rsidR="000654B3" w:rsidRDefault="00115A74" w:rsidP="00982CB9">
      <w:pPr>
        <w:autoSpaceDE w:val="0"/>
        <w:autoSpaceDN w:val="0"/>
        <w:adjustRightInd w:val="0"/>
        <w:spacing w:after="0"/>
        <w:jc w:val="both"/>
        <w:rPr>
          <w:rFonts w:ascii="Arial" w:hAnsi="Arial" w:cs="Arial"/>
          <w:color w:val="000000"/>
          <w:sz w:val="20"/>
          <w:szCs w:val="20"/>
        </w:rPr>
      </w:pPr>
      <w:r w:rsidRPr="000A48D0">
        <w:rPr>
          <w:rFonts w:ascii="Arial" w:hAnsi="Arial" w:cs="Arial"/>
          <w:color w:val="000000"/>
          <w:sz w:val="20"/>
          <w:szCs w:val="20"/>
        </w:rPr>
        <w:t xml:space="preserve">The UK has diverse renewable resources that can be deployed across the whole country, with one of the best potentials for onshore and offshore wind. </w:t>
      </w:r>
      <w:r>
        <w:rPr>
          <w:rFonts w:ascii="Arial" w:hAnsi="Arial" w:cs="Arial"/>
          <w:color w:val="000000"/>
          <w:sz w:val="20"/>
          <w:szCs w:val="20"/>
        </w:rPr>
        <w:t>We believe that e</w:t>
      </w:r>
      <w:r w:rsidRPr="000A48D0">
        <w:rPr>
          <w:rFonts w:ascii="Arial" w:hAnsi="Arial" w:cs="Arial"/>
          <w:color w:val="000000"/>
          <w:sz w:val="20"/>
          <w:szCs w:val="20"/>
        </w:rPr>
        <w:t>nergy diversification is important to provide energy security and long-term sustainability transitions.</w:t>
      </w:r>
      <w:r>
        <w:rPr>
          <w:rFonts w:ascii="Arial" w:hAnsi="Arial" w:cs="Arial"/>
          <w:color w:val="000000"/>
          <w:sz w:val="20"/>
          <w:szCs w:val="20"/>
        </w:rPr>
        <w:t xml:space="preserve"> </w:t>
      </w:r>
      <w:r w:rsidR="00E822E5">
        <w:rPr>
          <w:rFonts w:ascii="Arial" w:hAnsi="Arial" w:cs="Arial"/>
          <w:color w:val="000000"/>
          <w:sz w:val="20"/>
          <w:szCs w:val="20"/>
        </w:rPr>
        <w:t>Currently</w:t>
      </w:r>
      <w:r w:rsidR="008E3D76">
        <w:rPr>
          <w:rFonts w:ascii="Arial" w:hAnsi="Arial" w:cs="Arial"/>
          <w:color w:val="000000"/>
          <w:sz w:val="20"/>
          <w:szCs w:val="20"/>
        </w:rPr>
        <w:t xml:space="preserve">, </w:t>
      </w:r>
      <w:r w:rsidR="00E822E5">
        <w:rPr>
          <w:rFonts w:ascii="Arial" w:hAnsi="Arial" w:cs="Arial"/>
          <w:color w:val="000000"/>
          <w:sz w:val="20"/>
          <w:szCs w:val="20"/>
        </w:rPr>
        <w:t xml:space="preserve">solar PV is </w:t>
      </w:r>
      <w:r w:rsidR="0088059B">
        <w:rPr>
          <w:rFonts w:ascii="Arial" w:hAnsi="Arial" w:cs="Arial"/>
          <w:color w:val="000000"/>
          <w:sz w:val="20"/>
          <w:szCs w:val="20"/>
        </w:rPr>
        <w:t xml:space="preserve">almost </w:t>
      </w:r>
      <w:r w:rsidR="00E822E5">
        <w:rPr>
          <w:rFonts w:ascii="Arial" w:hAnsi="Arial" w:cs="Arial"/>
          <w:color w:val="000000"/>
          <w:sz w:val="20"/>
          <w:szCs w:val="20"/>
        </w:rPr>
        <w:t xml:space="preserve">the </w:t>
      </w:r>
      <w:r w:rsidR="008E3D76">
        <w:rPr>
          <w:rFonts w:ascii="Arial" w:hAnsi="Arial" w:cs="Arial"/>
          <w:color w:val="000000"/>
          <w:sz w:val="20"/>
          <w:szCs w:val="20"/>
        </w:rPr>
        <w:t xml:space="preserve">only </w:t>
      </w:r>
      <w:r w:rsidR="00E822E5">
        <w:rPr>
          <w:rFonts w:ascii="Arial" w:hAnsi="Arial" w:cs="Arial"/>
          <w:color w:val="000000"/>
          <w:sz w:val="20"/>
          <w:szCs w:val="20"/>
        </w:rPr>
        <w:t xml:space="preserve">intermittent </w:t>
      </w:r>
      <w:r w:rsidR="00E822E5">
        <w:rPr>
          <w:rFonts w:ascii="Arial" w:hAnsi="Arial" w:cs="Arial"/>
          <w:color w:val="000000"/>
          <w:sz w:val="20"/>
          <w:szCs w:val="20"/>
        </w:rPr>
        <w:lastRenderedPageBreak/>
        <w:t xml:space="preserve">renewable technology which has good load factors close to the demand (south), </w:t>
      </w:r>
      <w:r w:rsidR="0088059B">
        <w:rPr>
          <w:rFonts w:ascii="Arial" w:hAnsi="Arial" w:cs="Arial"/>
          <w:color w:val="000000"/>
          <w:sz w:val="20"/>
          <w:szCs w:val="20"/>
        </w:rPr>
        <w:t>which means that</w:t>
      </w:r>
      <w:r w:rsidR="00E822E5">
        <w:rPr>
          <w:rFonts w:ascii="Arial" w:hAnsi="Arial" w:cs="Arial"/>
          <w:color w:val="000000"/>
          <w:sz w:val="20"/>
          <w:szCs w:val="20"/>
        </w:rPr>
        <w:t xml:space="preserve"> the current regime discriminat</w:t>
      </w:r>
      <w:r w:rsidR="005A1AF4">
        <w:rPr>
          <w:rFonts w:ascii="Arial" w:hAnsi="Arial" w:cs="Arial"/>
          <w:color w:val="000000"/>
          <w:sz w:val="20"/>
          <w:szCs w:val="20"/>
        </w:rPr>
        <w:t>es</w:t>
      </w:r>
      <w:r w:rsidR="00E822E5">
        <w:rPr>
          <w:rFonts w:ascii="Arial" w:hAnsi="Arial" w:cs="Arial"/>
          <w:color w:val="000000"/>
          <w:sz w:val="20"/>
          <w:szCs w:val="20"/>
        </w:rPr>
        <w:t xml:space="preserve"> </w:t>
      </w:r>
      <w:r w:rsidR="005A1AF4">
        <w:rPr>
          <w:rFonts w:ascii="Arial" w:hAnsi="Arial" w:cs="Arial"/>
          <w:color w:val="000000"/>
          <w:sz w:val="20"/>
          <w:szCs w:val="20"/>
        </w:rPr>
        <w:t>against</w:t>
      </w:r>
      <w:r w:rsidR="00E822E5">
        <w:rPr>
          <w:rFonts w:ascii="Arial" w:hAnsi="Arial" w:cs="Arial"/>
          <w:color w:val="000000"/>
          <w:sz w:val="20"/>
          <w:szCs w:val="20"/>
        </w:rPr>
        <w:t xml:space="preserve"> other technologies that are driven </w:t>
      </w:r>
      <w:r w:rsidR="0088059B">
        <w:rPr>
          <w:rFonts w:ascii="Arial" w:hAnsi="Arial" w:cs="Arial"/>
          <w:color w:val="000000"/>
          <w:sz w:val="20"/>
          <w:szCs w:val="20"/>
        </w:rPr>
        <w:t>by</w:t>
      </w:r>
      <w:r w:rsidR="00E822E5">
        <w:rPr>
          <w:rFonts w:ascii="Arial" w:hAnsi="Arial" w:cs="Arial"/>
          <w:color w:val="000000"/>
          <w:sz w:val="20"/>
          <w:szCs w:val="20"/>
        </w:rPr>
        <w:t xml:space="preserve"> resource</w:t>
      </w:r>
      <w:r w:rsidR="002F237B">
        <w:rPr>
          <w:rFonts w:ascii="Arial" w:hAnsi="Arial" w:cs="Arial"/>
          <w:color w:val="000000"/>
          <w:sz w:val="20"/>
          <w:szCs w:val="20"/>
        </w:rPr>
        <w:t>s</w:t>
      </w:r>
      <w:r w:rsidR="00E822E5">
        <w:rPr>
          <w:rFonts w:ascii="Arial" w:hAnsi="Arial" w:cs="Arial"/>
          <w:color w:val="000000"/>
          <w:sz w:val="20"/>
          <w:szCs w:val="20"/>
        </w:rPr>
        <w:t xml:space="preserve"> that </w:t>
      </w:r>
      <w:r w:rsidR="002F237B">
        <w:rPr>
          <w:rFonts w:ascii="Arial" w:hAnsi="Arial" w:cs="Arial"/>
          <w:color w:val="000000"/>
          <w:sz w:val="20"/>
          <w:szCs w:val="20"/>
        </w:rPr>
        <w:t>are</w:t>
      </w:r>
      <w:r w:rsidR="00E822E5">
        <w:rPr>
          <w:rFonts w:ascii="Arial" w:hAnsi="Arial" w:cs="Arial"/>
          <w:color w:val="000000"/>
          <w:sz w:val="20"/>
          <w:szCs w:val="20"/>
        </w:rPr>
        <w:t xml:space="preserve"> </w:t>
      </w:r>
      <w:r w:rsidR="0088059B">
        <w:rPr>
          <w:rFonts w:ascii="Arial" w:hAnsi="Arial" w:cs="Arial"/>
          <w:color w:val="000000"/>
          <w:sz w:val="20"/>
          <w:szCs w:val="20"/>
        </w:rPr>
        <w:t xml:space="preserve">mostly </w:t>
      </w:r>
      <w:r w:rsidR="00E822E5">
        <w:rPr>
          <w:rFonts w:ascii="Arial" w:hAnsi="Arial" w:cs="Arial"/>
          <w:color w:val="000000"/>
          <w:sz w:val="20"/>
          <w:szCs w:val="20"/>
        </w:rPr>
        <w:t>located in the north</w:t>
      </w:r>
      <w:r w:rsidR="007D7609">
        <w:rPr>
          <w:rFonts w:ascii="Arial" w:hAnsi="Arial" w:cs="Arial"/>
          <w:color w:val="000000"/>
          <w:sz w:val="20"/>
          <w:szCs w:val="20"/>
        </w:rPr>
        <w:t xml:space="preserve"> of</w:t>
      </w:r>
      <w:r w:rsidR="00460116">
        <w:rPr>
          <w:rFonts w:ascii="Arial" w:hAnsi="Arial" w:cs="Arial"/>
          <w:color w:val="000000"/>
          <w:sz w:val="20"/>
          <w:szCs w:val="20"/>
        </w:rPr>
        <w:t xml:space="preserve"> GB</w:t>
      </w:r>
      <w:r w:rsidR="00E822E5">
        <w:rPr>
          <w:rFonts w:ascii="Arial" w:hAnsi="Arial" w:cs="Arial"/>
          <w:color w:val="000000"/>
          <w:sz w:val="20"/>
          <w:szCs w:val="20"/>
        </w:rPr>
        <w:t>.</w:t>
      </w:r>
      <w:r w:rsidR="0088059B">
        <w:rPr>
          <w:rFonts w:ascii="Arial" w:hAnsi="Arial" w:cs="Arial"/>
          <w:color w:val="000000"/>
          <w:sz w:val="20"/>
          <w:szCs w:val="20"/>
        </w:rPr>
        <w:t xml:space="preserve"> We understand that most of the </w:t>
      </w:r>
      <w:r w:rsidR="002F237B">
        <w:rPr>
          <w:rFonts w:ascii="Arial" w:hAnsi="Arial" w:cs="Arial"/>
          <w:color w:val="000000"/>
          <w:sz w:val="20"/>
          <w:szCs w:val="20"/>
        </w:rPr>
        <w:t xml:space="preserve">new </w:t>
      </w:r>
      <w:r w:rsidR="0088059B">
        <w:rPr>
          <w:rFonts w:ascii="Arial" w:hAnsi="Arial" w:cs="Arial"/>
          <w:color w:val="000000"/>
          <w:sz w:val="20"/>
          <w:szCs w:val="20"/>
        </w:rPr>
        <w:t xml:space="preserve">solar resource is expected to be connected to distribution networks rather than </w:t>
      </w:r>
      <w:r w:rsidR="002F237B">
        <w:rPr>
          <w:rFonts w:ascii="Arial" w:hAnsi="Arial" w:cs="Arial"/>
          <w:color w:val="000000"/>
          <w:sz w:val="20"/>
          <w:szCs w:val="20"/>
        </w:rPr>
        <w:t xml:space="preserve">to the </w:t>
      </w:r>
      <w:r w:rsidR="0088059B">
        <w:rPr>
          <w:rFonts w:ascii="Arial" w:hAnsi="Arial" w:cs="Arial"/>
          <w:color w:val="000000"/>
          <w:sz w:val="20"/>
          <w:szCs w:val="20"/>
        </w:rPr>
        <w:t>transmission</w:t>
      </w:r>
      <w:r w:rsidR="002F237B">
        <w:rPr>
          <w:rFonts w:ascii="Arial" w:hAnsi="Arial" w:cs="Arial"/>
          <w:color w:val="000000"/>
          <w:sz w:val="20"/>
          <w:szCs w:val="20"/>
        </w:rPr>
        <w:t xml:space="preserve"> system</w:t>
      </w:r>
      <w:r w:rsidR="0088059B">
        <w:rPr>
          <w:rFonts w:ascii="Arial" w:hAnsi="Arial" w:cs="Arial"/>
          <w:color w:val="000000"/>
          <w:sz w:val="20"/>
          <w:szCs w:val="20"/>
        </w:rPr>
        <w:t xml:space="preserve">, but we </w:t>
      </w:r>
      <w:r w:rsidR="002F237B">
        <w:rPr>
          <w:rFonts w:ascii="Arial" w:hAnsi="Arial" w:cs="Arial"/>
          <w:color w:val="000000"/>
          <w:sz w:val="20"/>
          <w:szCs w:val="20"/>
        </w:rPr>
        <w:t>are also aware</w:t>
      </w:r>
      <w:r w:rsidR="0088059B">
        <w:rPr>
          <w:rFonts w:ascii="Arial" w:hAnsi="Arial" w:cs="Arial"/>
          <w:color w:val="000000"/>
          <w:sz w:val="20"/>
          <w:szCs w:val="20"/>
        </w:rPr>
        <w:t xml:space="preserve"> that Ofgem is </w:t>
      </w:r>
      <w:r w:rsidR="002F237B">
        <w:rPr>
          <w:rFonts w:ascii="Arial" w:hAnsi="Arial" w:cs="Arial"/>
          <w:color w:val="000000"/>
          <w:sz w:val="20"/>
          <w:szCs w:val="20"/>
        </w:rPr>
        <w:t>considering the extension of the</w:t>
      </w:r>
      <w:r w:rsidR="0088059B">
        <w:rPr>
          <w:rFonts w:ascii="Arial" w:hAnsi="Arial" w:cs="Arial"/>
          <w:color w:val="000000"/>
          <w:sz w:val="20"/>
          <w:szCs w:val="20"/>
        </w:rPr>
        <w:t xml:space="preserve"> </w:t>
      </w:r>
      <w:proofErr w:type="spellStart"/>
      <w:r w:rsidR="0088059B">
        <w:rPr>
          <w:rFonts w:ascii="Arial" w:hAnsi="Arial" w:cs="Arial"/>
          <w:color w:val="000000"/>
          <w:sz w:val="20"/>
          <w:szCs w:val="20"/>
        </w:rPr>
        <w:t>TNUoS</w:t>
      </w:r>
      <w:proofErr w:type="spellEnd"/>
      <w:r w:rsidR="0088059B">
        <w:rPr>
          <w:rFonts w:ascii="Arial" w:hAnsi="Arial" w:cs="Arial"/>
          <w:color w:val="000000"/>
          <w:sz w:val="20"/>
          <w:szCs w:val="20"/>
        </w:rPr>
        <w:t xml:space="preserve"> regime to distribution level. </w:t>
      </w:r>
      <w:r w:rsidR="00A22239">
        <w:rPr>
          <w:rFonts w:ascii="Arial" w:hAnsi="Arial" w:cs="Arial"/>
          <w:color w:val="000000"/>
          <w:sz w:val="20"/>
          <w:szCs w:val="20"/>
        </w:rPr>
        <w:t>Hence</w:t>
      </w:r>
      <w:r w:rsidR="0088059B">
        <w:rPr>
          <w:rFonts w:ascii="Arial" w:hAnsi="Arial" w:cs="Arial"/>
          <w:color w:val="000000"/>
          <w:sz w:val="20"/>
          <w:szCs w:val="20"/>
        </w:rPr>
        <w:t xml:space="preserve">, we think </w:t>
      </w:r>
      <w:r w:rsidR="00E14CAE">
        <w:rPr>
          <w:rFonts w:ascii="Arial" w:hAnsi="Arial" w:cs="Arial"/>
          <w:color w:val="000000"/>
          <w:sz w:val="20"/>
          <w:szCs w:val="20"/>
        </w:rPr>
        <w:t xml:space="preserve">that </w:t>
      </w:r>
      <w:r w:rsidR="0088059B">
        <w:rPr>
          <w:rFonts w:ascii="Arial" w:hAnsi="Arial" w:cs="Arial"/>
          <w:color w:val="000000"/>
          <w:sz w:val="20"/>
          <w:szCs w:val="20"/>
        </w:rPr>
        <w:t xml:space="preserve">if future </w:t>
      </w:r>
      <w:proofErr w:type="spellStart"/>
      <w:r w:rsidR="0088059B">
        <w:rPr>
          <w:rFonts w:ascii="Arial" w:hAnsi="Arial" w:cs="Arial"/>
          <w:color w:val="000000"/>
          <w:sz w:val="20"/>
          <w:szCs w:val="20"/>
        </w:rPr>
        <w:t>TNUoS</w:t>
      </w:r>
      <w:proofErr w:type="spellEnd"/>
      <w:r w:rsidR="0088059B">
        <w:rPr>
          <w:rFonts w:ascii="Arial" w:hAnsi="Arial" w:cs="Arial"/>
          <w:color w:val="000000"/>
          <w:sz w:val="20"/>
          <w:szCs w:val="20"/>
        </w:rPr>
        <w:t xml:space="preserve"> reform is </w:t>
      </w:r>
      <w:r>
        <w:rPr>
          <w:rFonts w:ascii="Arial" w:hAnsi="Arial" w:cs="Arial"/>
          <w:color w:val="000000"/>
          <w:sz w:val="20"/>
          <w:szCs w:val="20"/>
        </w:rPr>
        <w:t xml:space="preserve">to be </w:t>
      </w:r>
      <w:r w:rsidR="0088059B">
        <w:rPr>
          <w:rFonts w:ascii="Arial" w:hAnsi="Arial" w:cs="Arial"/>
          <w:color w:val="000000"/>
          <w:sz w:val="20"/>
          <w:szCs w:val="20"/>
        </w:rPr>
        <w:t xml:space="preserve">applied to distribution level as </w:t>
      </w:r>
      <w:r w:rsidR="00460116">
        <w:rPr>
          <w:rFonts w:ascii="Arial" w:hAnsi="Arial" w:cs="Arial"/>
          <w:color w:val="000000"/>
          <w:sz w:val="20"/>
          <w:szCs w:val="20"/>
        </w:rPr>
        <w:t>well,</w:t>
      </w:r>
      <w:r w:rsidR="00460116" w:rsidRPr="00E14CAE">
        <w:t xml:space="preserve"> </w:t>
      </w:r>
      <w:r w:rsidR="00460116">
        <w:rPr>
          <w:rFonts w:ascii="Arial" w:hAnsi="Arial" w:cs="Arial"/>
          <w:color w:val="000000"/>
          <w:sz w:val="20"/>
          <w:szCs w:val="20"/>
        </w:rPr>
        <w:t>then</w:t>
      </w:r>
      <w:r>
        <w:rPr>
          <w:rFonts w:ascii="Arial" w:hAnsi="Arial" w:cs="Arial"/>
          <w:color w:val="000000"/>
          <w:sz w:val="20"/>
          <w:szCs w:val="20"/>
        </w:rPr>
        <w:t xml:space="preserve"> </w:t>
      </w:r>
      <w:r w:rsidR="002F237B">
        <w:rPr>
          <w:rFonts w:ascii="Arial" w:hAnsi="Arial" w:cs="Arial"/>
          <w:color w:val="000000"/>
          <w:sz w:val="20"/>
          <w:szCs w:val="20"/>
        </w:rPr>
        <w:t xml:space="preserve">it is important to consider the </w:t>
      </w:r>
      <w:r>
        <w:rPr>
          <w:rFonts w:ascii="Arial" w:hAnsi="Arial" w:cs="Arial"/>
          <w:color w:val="000000"/>
          <w:sz w:val="20"/>
          <w:szCs w:val="20"/>
        </w:rPr>
        <w:t>whole system effects of the reform and take this into account in any change proposed</w:t>
      </w:r>
      <w:r w:rsidR="0088059B">
        <w:rPr>
          <w:rFonts w:ascii="Arial" w:hAnsi="Arial" w:cs="Arial"/>
          <w:color w:val="000000"/>
          <w:sz w:val="20"/>
          <w:szCs w:val="20"/>
        </w:rPr>
        <w:t>.</w:t>
      </w:r>
      <w:r w:rsidR="00A22239">
        <w:rPr>
          <w:rFonts w:ascii="Arial" w:hAnsi="Arial" w:cs="Arial"/>
          <w:color w:val="000000"/>
          <w:sz w:val="20"/>
          <w:szCs w:val="20"/>
        </w:rPr>
        <w:t xml:space="preserve"> </w:t>
      </w:r>
      <w:r>
        <w:rPr>
          <w:rFonts w:ascii="Arial" w:hAnsi="Arial" w:cs="Arial"/>
          <w:color w:val="000000"/>
          <w:sz w:val="20"/>
          <w:szCs w:val="20"/>
        </w:rPr>
        <w:t xml:space="preserve">Without </w:t>
      </w:r>
      <w:proofErr w:type="spellStart"/>
      <w:r>
        <w:rPr>
          <w:rFonts w:ascii="Arial" w:hAnsi="Arial" w:cs="Arial"/>
          <w:color w:val="000000"/>
          <w:sz w:val="20"/>
          <w:szCs w:val="20"/>
        </w:rPr>
        <w:t>T</w:t>
      </w:r>
      <w:r w:rsidR="00D43F8A">
        <w:rPr>
          <w:rFonts w:ascii="Arial" w:hAnsi="Arial" w:cs="Arial"/>
          <w:color w:val="000000"/>
          <w:sz w:val="20"/>
          <w:szCs w:val="20"/>
        </w:rPr>
        <w:t>NU</w:t>
      </w:r>
      <w:r>
        <w:rPr>
          <w:rFonts w:ascii="Arial" w:hAnsi="Arial" w:cs="Arial"/>
          <w:color w:val="000000"/>
          <w:sz w:val="20"/>
          <w:szCs w:val="20"/>
        </w:rPr>
        <w:t>o</w:t>
      </w:r>
      <w:r w:rsidR="00D43F8A">
        <w:rPr>
          <w:rFonts w:ascii="Arial" w:hAnsi="Arial" w:cs="Arial"/>
          <w:color w:val="000000"/>
          <w:sz w:val="20"/>
          <w:szCs w:val="20"/>
        </w:rPr>
        <w:t>S</w:t>
      </w:r>
      <w:proofErr w:type="spellEnd"/>
      <w:r>
        <w:rPr>
          <w:rFonts w:ascii="Arial" w:hAnsi="Arial" w:cs="Arial"/>
          <w:color w:val="000000"/>
          <w:sz w:val="20"/>
          <w:szCs w:val="20"/>
        </w:rPr>
        <w:t xml:space="preserve"> reform the UK will not be able to achieve the envisioned energy diversity and fulfil the potential for a net-zero electricity system from UK resources. </w:t>
      </w:r>
    </w:p>
    <w:p w14:paraId="6AAE4097" w14:textId="127F9443" w:rsidR="000654B3" w:rsidRDefault="000654B3" w:rsidP="00982CB9">
      <w:pPr>
        <w:autoSpaceDE w:val="0"/>
        <w:autoSpaceDN w:val="0"/>
        <w:adjustRightInd w:val="0"/>
        <w:spacing w:after="0"/>
        <w:jc w:val="both"/>
        <w:rPr>
          <w:rFonts w:ascii="Arial" w:hAnsi="Arial" w:cs="Arial"/>
          <w:color w:val="000000"/>
          <w:sz w:val="20"/>
          <w:szCs w:val="20"/>
        </w:rPr>
      </w:pPr>
    </w:p>
    <w:p w14:paraId="2547D839" w14:textId="19137D6F" w:rsidR="0088059B" w:rsidRDefault="00D21176" w:rsidP="005608DF">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We would like </w:t>
      </w:r>
      <w:r w:rsidR="00DE2E78">
        <w:rPr>
          <w:rFonts w:ascii="Arial" w:hAnsi="Arial" w:cs="Arial"/>
          <w:color w:val="000000"/>
          <w:sz w:val="20"/>
          <w:szCs w:val="20"/>
        </w:rPr>
        <w:t>to highlight a recent report</w:t>
      </w:r>
      <w:r w:rsidR="00DE2E78">
        <w:rPr>
          <w:rStyle w:val="FootnoteReference"/>
          <w:rFonts w:ascii="Arial" w:hAnsi="Arial" w:cs="Arial"/>
          <w:color w:val="000000"/>
          <w:sz w:val="20"/>
          <w:szCs w:val="20"/>
        </w:rPr>
        <w:footnoteReference w:id="16"/>
      </w:r>
      <w:r w:rsidR="00DE2E78">
        <w:rPr>
          <w:rFonts w:ascii="Arial" w:hAnsi="Arial" w:cs="Arial"/>
          <w:color w:val="000000"/>
          <w:sz w:val="20"/>
          <w:szCs w:val="20"/>
        </w:rPr>
        <w:t xml:space="preserve"> developed by Aurora Energy Research which analyses </w:t>
      </w:r>
      <w:r w:rsidR="002E1C1B">
        <w:rPr>
          <w:rFonts w:ascii="Arial" w:hAnsi="Arial" w:cs="Arial"/>
          <w:color w:val="000000"/>
          <w:sz w:val="20"/>
          <w:szCs w:val="20"/>
        </w:rPr>
        <w:t>two possible scenarios for the deployment of wind</w:t>
      </w:r>
      <w:r w:rsidR="00DE2E78">
        <w:rPr>
          <w:rFonts w:ascii="Arial" w:hAnsi="Arial" w:cs="Arial"/>
          <w:color w:val="000000"/>
          <w:sz w:val="20"/>
          <w:szCs w:val="20"/>
        </w:rPr>
        <w:t xml:space="preserve"> energy</w:t>
      </w:r>
      <w:r w:rsidR="002E1C1B">
        <w:rPr>
          <w:rFonts w:ascii="Arial" w:hAnsi="Arial" w:cs="Arial"/>
          <w:color w:val="000000"/>
          <w:sz w:val="20"/>
          <w:szCs w:val="20"/>
        </w:rPr>
        <w:t xml:space="preserve">. </w:t>
      </w:r>
      <w:r w:rsidR="00741AFC">
        <w:rPr>
          <w:rFonts w:ascii="Arial" w:hAnsi="Arial" w:cs="Arial"/>
          <w:color w:val="000000"/>
          <w:sz w:val="20"/>
          <w:szCs w:val="20"/>
        </w:rPr>
        <w:t>The first scenario</w:t>
      </w:r>
      <w:r w:rsidR="002E1C1B">
        <w:rPr>
          <w:rFonts w:ascii="Arial" w:hAnsi="Arial" w:cs="Arial"/>
          <w:color w:val="000000"/>
          <w:sz w:val="20"/>
          <w:szCs w:val="20"/>
        </w:rPr>
        <w:t xml:space="preserve"> analyses the </w:t>
      </w:r>
      <w:r w:rsidR="00DE2E78">
        <w:rPr>
          <w:rFonts w:ascii="Arial" w:hAnsi="Arial" w:cs="Arial"/>
          <w:color w:val="000000"/>
          <w:sz w:val="20"/>
          <w:szCs w:val="20"/>
        </w:rPr>
        <w:t>case</w:t>
      </w:r>
      <w:r w:rsidR="002E1C1B" w:rsidRPr="002E1C1B">
        <w:rPr>
          <w:rFonts w:ascii="Arial" w:hAnsi="Arial" w:cs="Arial"/>
          <w:color w:val="000000"/>
          <w:sz w:val="20"/>
          <w:szCs w:val="20"/>
        </w:rPr>
        <w:t xml:space="preserve"> in which wind</w:t>
      </w:r>
      <w:r w:rsidR="002E1C1B">
        <w:rPr>
          <w:rFonts w:ascii="Arial" w:hAnsi="Arial" w:cs="Arial"/>
          <w:color w:val="000000"/>
          <w:sz w:val="20"/>
          <w:szCs w:val="20"/>
        </w:rPr>
        <w:t xml:space="preserve"> </w:t>
      </w:r>
      <w:r w:rsidR="002E1C1B" w:rsidRPr="002E1C1B">
        <w:rPr>
          <w:rFonts w:ascii="Arial" w:hAnsi="Arial" w:cs="Arial"/>
          <w:color w:val="000000"/>
          <w:sz w:val="20"/>
          <w:szCs w:val="20"/>
        </w:rPr>
        <w:t>capacity is built predominantly in regions</w:t>
      </w:r>
      <w:r w:rsidR="00DE2E78">
        <w:rPr>
          <w:rFonts w:ascii="Arial" w:hAnsi="Arial" w:cs="Arial"/>
          <w:color w:val="000000"/>
          <w:sz w:val="20"/>
          <w:szCs w:val="20"/>
        </w:rPr>
        <w:t xml:space="preserve"> </w:t>
      </w:r>
      <w:r w:rsidR="002E1C1B" w:rsidRPr="002E1C1B">
        <w:rPr>
          <w:rFonts w:ascii="Arial" w:hAnsi="Arial" w:cs="Arial"/>
          <w:color w:val="000000"/>
          <w:sz w:val="20"/>
          <w:szCs w:val="20"/>
        </w:rPr>
        <w:t>with attractive load factors (Scotland and</w:t>
      </w:r>
      <w:r w:rsidR="002E1C1B">
        <w:rPr>
          <w:rFonts w:ascii="Arial" w:hAnsi="Arial" w:cs="Arial"/>
          <w:color w:val="000000"/>
          <w:sz w:val="20"/>
          <w:szCs w:val="20"/>
        </w:rPr>
        <w:t xml:space="preserve"> t</w:t>
      </w:r>
      <w:r w:rsidR="002E1C1B" w:rsidRPr="002E1C1B">
        <w:rPr>
          <w:rFonts w:ascii="Arial" w:hAnsi="Arial" w:cs="Arial"/>
          <w:color w:val="000000"/>
          <w:sz w:val="20"/>
          <w:szCs w:val="20"/>
        </w:rPr>
        <w:t>he North Sea).</w:t>
      </w:r>
      <w:r w:rsidR="002E1C1B">
        <w:rPr>
          <w:rFonts w:ascii="Arial" w:hAnsi="Arial" w:cs="Arial"/>
          <w:color w:val="000000"/>
          <w:sz w:val="20"/>
          <w:szCs w:val="20"/>
        </w:rPr>
        <w:t xml:space="preserve"> The </w:t>
      </w:r>
      <w:r w:rsidR="007D7609">
        <w:rPr>
          <w:rFonts w:ascii="Arial" w:hAnsi="Arial" w:cs="Arial"/>
          <w:color w:val="000000"/>
          <w:sz w:val="20"/>
          <w:szCs w:val="20"/>
        </w:rPr>
        <w:t>s</w:t>
      </w:r>
      <w:r w:rsidR="002E1C1B">
        <w:rPr>
          <w:rFonts w:ascii="Arial" w:hAnsi="Arial" w:cs="Arial"/>
          <w:color w:val="000000"/>
          <w:sz w:val="20"/>
          <w:szCs w:val="20"/>
        </w:rPr>
        <w:t xml:space="preserve">econd one analyses the scenario </w:t>
      </w:r>
      <w:r w:rsidR="002E1C1B" w:rsidRPr="002E1C1B">
        <w:rPr>
          <w:rFonts w:ascii="Arial" w:hAnsi="Arial" w:cs="Arial"/>
          <w:color w:val="000000"/>
          <w:sz w:val="20"/>
          <w:szCs w:val="20"/>
        </w:rPr>
        <w:t xml:space="preserve">where more </w:t>
      </w:r>
      <w:r w:rsidR="004C210D">
        <w:rPr>
          <w:rFonts w:ascii="Arial" w:hAnsi="Arial" w:cs="Arial"/>
          <w:color w:val="000000"/>
          <w:sz w:val="20"/>
          <w:szCs w:val="20"/>
        </w:rPr>
        <w:t>wind</w:t>
      </w:r>
      <w:r w:rsidR="00115A74">
        <w:rPr>
          <w:rFonts w:ascii="Arial" w:hAnsi="Arial" w:cs="Arial"/>
          <w:color w:val="000000"/>
          <w:sz w:val="20"/>
          <w:szCs w:val="20"/>
        </w:rPr>
        <w:t xml:space="preserve"> resource</w:t>
      </w:r>
      <w:r w:rsidR="004C210D">
        <w:rPr>
          <w:rFonts w:ascii="Arial" w:hAnsi="Arial" w:cs="Arial"/>
          <w:color w:val="000000"/>
          <w:sz w:val="20"/>
          <w:szCs w:val="20"/>
        </w:rPr>
        <w:t xml:space="preserve"> </w:t>
      </w:r>
      <w:r w:rsidR="002E1C1B" w:rsidRPr="002E1C1B">
        <w:rPr>
          <w:rFonts w:ascii="Arial" w:hAnsi="Arial" w:cs="Arial"/>
          <w:color w:val="000000"/>
          <w:sz w:val="20"/>
          <w:szCs w:val="20"/>
        </w:rPr>
        <w:t>weight</w:t>
      </w:r>
      <w:r w:rsidR="00115A74">
        <w:rPr>
          <w:rFonts w:ascii="Arial" w:hAnsi="Arial" w:cs="Arial"/>
          <w:color w:val="000000"/>
          <w:sz w:val="20"/>
          <w:szCs w:val="20"/>
        </w:rPr>
        <w:t>ing</w:t>
      </w:r>
      <w:r w:rsidR="002E1C1B" w:rsidRPr="002E1C1B">
        <w:rPr>
          <w:rFonts w:ascii="Arial" w:hAnsi="Arial" w:cs="Arial"/>
          <w:color w:val="000000"/>
          <w:sz w:val="20"/>
          <w:szCs w:val="20"/>
        </w:rPr>
        <w:t xml:space="preserve"> is given to locational</w:t>
      </w:r>
      <w:r w:rsidR="002E1C1B">
        <w:rPr>
          <w:rFonts w:ascii="Arial" w:hAnsi="Arial" w:cs="Arial"/>
          <w:color w:val="000000"/>
          <w:sz w:val="20"/>
          <w:szCs w:val="20"/>
        </w:rPr>
        <w:t xml:space="preserve"> </w:t>
      </w:r>
      <w:r w:rsidR="002E1C1B" w:rsidRPr="002E1C1B">
        <w:rPr>
          <w:rFonts w:ascii="Arial" w:hAnsi="Arial" w:cs="Arial"/>
          <w:color w:val="000000"/>
          <w:sz w:val="20"/>
          <w:szCs w:val="20"/>
        </w:rPr>
        <w:t>price signals (</w:t>
      </w:r>
      <w:proofErr w:type="gramStart"/>
      <w:r w:rsidR="002E1C1B" w:rsidRPr="002E1C1B">
        <w:rPr>
          <w:rFonts w:ascii="Arial" w:hAnsi="Arial" w:cs="Arial"/>
          <w:color w:val="000000"/>
          <w:sz w:val="20"/>
          <w:szCs w:val="20"/>
        </w:rPr>
        <w:t>i.e.</w:t>
      </w:r>
      <w:proofErr w:type="gramEnd"/>
      <w:r w:rsidR="002E1C1B" w:rsidRPr="002E1C1B">
        <w:rPr>
          <w:rFonts w:ascii="Arial" w:hAnsi="Arial" w:cs="Arial"/>
          <w:color w:val="000000"/>
          <w:sz w:val="20"/>
          <w:szCs w:val="20"/>
        </w:rPr>
        <w:t xml:space="preserve"> </w:t>
      </w:r>
      <w:proofErr w:type="spellStart"/>
      <w:r w:rsidR="002E1C1B" w:rsidRPr="002E1C1B">
        <w:rPr>
          <w:rFonts w:ascii="Arial" w:hAnsi="Arial" w:cs="Arial"/>
          <w:color w:val="000000"/>
          <w:sz w:val="20"/>
          <w:szCs w:val="20"/>
        </w:rPr>
        <w:t>TNUoS</w:t>
      </w:r>
      <w:proofErr w:type="spellEnd"/>
      <w:r w:rsidR="002E1C1B" w:rsidRPr="002E1C1B">
        <w:rPr>
          <w:rFonts w:ascii="Arial" w:hAnsi="Arial" w:cs="Arial"/>
          <w:color w:val="000000"/>
          <w:sz w:val="20"/>
          <w:szCs w:val="20"/>
        </w:rPr>
        <w:t>) and planning</w:t>
      </w:r>
      <w:r w:rsidR="002E1C1B">
        <w:rPr>
          <w:rFonts w:ascii="Arial" w:hAnsi="Arial" w:cs="Arial"/>
          <w:color w:val="000000"/>
          <w:sz w:val="20"/>
          <w:szCs w:val="20"/>
        </w:rPr>
        <w:t xml:space="preserve"> </w:t>
      </w:r>
      <w:r w:rsidR="002E1C1B" w:rsidRPr="002E1C1B">
        <w:rPr>
          <w:rFonts w:ascii="Arial" w:hAnsi="Arial" w:cs="Arial"/>
          <w:color w:val="000000"/>
          <w:sz w:val="20"/>
          <w:szCs w:val="20"/>
        </w:rPr>
        <w:t>requirements are assumed to be relaxed,</w:t>
      </w:r>
      <w:r w:rsidR="002E1C1B">
        <w:rPr>
          <w:rFonts w:ascii="Arial" w:hAnsi="Arial" w:cs="Arial"/>
          <w:color w:val="000000"/>
          <w:sz w:val="20"/>
          <w:szCs w:val="20"/>
        </w:rPr>
        <w:t xml:space="preserve"> </w:t>
      </w:r>
      <w:r w:rsidR="002E1C1B" w:rsidRPr="002E1C1B">
        <w:rPr>
          <w:rFonts w:ascii="Arial" w:hAnsi="Arial" w:cs="Arial"/>
          <w:color w:val="000000"/>
          <w:sz w:val="20"/>
          <w:szCs w:val="20"/>
        </w:rPr>
        <w:t>resulting in lower wind buildout in</w:t>
      </w:r>
      <w:r w:rsidR="002E1C1B">
        <w:rPr>
          <w:rFonts w:ascii="Arial" w:hAnsi="Arial" w:cs="Arial"/>
          <w:color w:val="000000"/>
          <w:sz w:val="20"/>
          <w:szCs w:val="20"/>
        </w:rPr>
        <w:t xml:space="preserve"> </w:t>
      </w:r>
      <w:r w:rsidR="002E1C1B" w:rsidRPr="002E1C1B">
        <w:rPr>
          <w:rFonts w:ascii="Arial" w:hAnsi="Arial" w:cs="Arial"/>
          <w:color w:val="000000"/>
          <w:sz w:val="20"/>
          <w:szCs w:val="20"/>
        </w:rPr>
        <w:t>Scotland in favour of the England and</w:t>
      </w:r>
      <w:r w:rsidR="002E1C1B">
        <w:rPr>
          <w:rFonts w:ascii="Arial" w:hAnsi="Arial" w:cs="Arial"/>
          <w:color w:val="000000"/>
          <w:sz w:val="20"/>
          <w:szCs w:val="20"/>
        </w:rPr>
        <w:t xml:space="preserve"> </w:t>
      </w:r>
      <w:r w:rsidR="002E1C1B" w:rsidRPr="002E1C1B">
        <w:rPr>
          <w:rFonts w:ascii="Arial" w:hAnsi="Arial" w:cs="Arial"/>
          <w:color w:val="000000"/>
          <w:sz w:val="20"/>
          <w:szCs w:val="20"/>
        </w:rPr>
        <w:t>Wales.</w:t>
      </w:r>
      <w:r w:rsidR="002E1C1B">
        <w:rPr>
          <w:rFonts w:ascii="Arial" w:hAnsi="Arial" w:cs="Arial"/>
          <w:color w:val="000000"/>
          <w:sz w:val="20"/>
          <w:szCs w:val="20"/>
        </w:rPr>
        <w:t xml:space="preserve"> Overall, the results indicate that if the system is driven by the second scenario this would lead to a more volatile power system and require higher wind </w:t>
      </w:r>
      <w:r w:rsidR="00115A74">
        <w:rPr>
          <w:rFonts w:ascii="Arial" w:hAnsi="Arial" w:cs="Arial"/>
          <w:color w:val="000000"/>
          <w:sz w:val="20"/>
          <w:szCs w:val="20"/>
        </w:rPr>
        <w:t xml:space="preserve">generating </w:t>
      </w:r>
      <w:r w:rsidR="002E1C1B">
        <w:rPr>
          <w:rFonts w:ascii="Arial" w:hAnsi="Arial" w:cs="Arial"/>
          <w:color w:val="000000"/>
          <w:sz w:val="20"/>
          <w:szCs w:val="20"/>
        </w:rPr>
        <w:t>capacity in GB to reach net zero by 2050.</w:t>
      </w:r>
      <w:r w:rsidR="002941A2">
        <w:rPr>
          <w:rFonts w:ascii="Arial" w:hAnsi="Arial" w:cs="Arial"/>
          <w:color w:val="000000"/>
          <w:sz w:val="20"/>
          <w:szCs w:val="20"/>
        </w:rPr>
        <w:t xml:space="preserve"> </w:t>
      </w:r>
      <w:r w:rsidR="005608DF" w:rsidRPr="005608DF">
        <w:rPr>
          <w:rFonts w:ascii="Arial" w:hAnsi="Arial" w:cs="Arial"/>
          <w:color w:val="000000"/>
          <w:sz w:val="20"/>
          <w:szCs w:val="20"/>
        </w:rPr>
        <w:t>These effects lead to changes in market prices, with potentially negative implications on power plant economics</w:t>
      </w:r>
      <w:r w:rsidR="005608DF">
        <w:rPr>
          <w:rFonts w:ascii="Arial" w:hAnsi="Arial" w:cs="Arial"/>
          <w:color w:val="000000"/>
          <w:sz w:val="20"/>
          <w:szCs w:val="20"/>
        </w:rPr>
        <w:t xml:space="preserve"> </w:t>
      </w:r>
      <w:r w:rsidR="005608DF" w:rsidRPr="005608DF">
        <w:rPr>
          <w:rFonts w:ascii="Arial" w:hAnsi="Arial" w:cs="Arial"/>
          <w:color w:val="000000"/>
          <w:sz w:val="20"/>
          <w:szCs w:val="20"/>
        </w:rPr>
        <w:t xml:space="preserve">and consumer costs in the long </w:t>
      </w:r>
      <w:r w:rsidR="009E1C32">
        <w:rPr>
          <w:rFonts w:ascii="Arial" w:hAnsi="Arial" w:cs="Arial"/>
          <w:color w:val="000000"/>
          <w:sz w:val="20"/>
          <w:szCs w:val="20"/>
        </w:rPr>
        <w:t>term</w:t>
      </w:r>
      <w:r w:rsidR="005608DF" w:rsidRPr="005608DF">
        <w:rPr>
          <w:rFonts w:ascii="Arial" w:hAnsi="Arial" w:cs="Arial"/>
          <w:color w:val="000000"/>
          <w:sz w:val="20"/>
          <w:szCs w:val="20"/>
        </w:rPr>
        <w:t>, counteracting benefits from the alleviation of grid congestion.</w:t>
      </w:r>
    </w:p>
    <w:p w14:paraId="66BA8AD4" w14:textId="4AE327A1" w:rsidR="00982CB9" w:rsidRDefault="00982CB9" w:rsidP="00DE2E78">
      <w:pPr>
        <w:pStyle w:val="NormalWeb"/>
        <w:spacing w:before="0" w:beforeAutospacing="0" w:after="0" w:afterAutospacing="0" w:line="276" w:lineRule="auto"/>
        <w:jc w:val="both"/>
        <w:rPr>
          <w:rFonts w:ascii="Arial" w:eastAsiaTheme="minorHAnsi" w:hAnsi="Arial" w:cs="Arial"/>
          <w:color w:val="000000"/>
          <w:sz w:val="20"/>
          <w:szCs w:val="20"/>
          <w:lang w:eastAsia="en-US"/>
        </w:rPr>
      </w:pPr>
    </w:p>
    <w:p w14:paraId="7D448529" w14:textId="4BBF1590" w:rsidR="002941A2" w:rsidRDefault="005608DF" w:rsidP="00DE2E78">
      <w:pPr>
        <w:pStyle w:val="Default"/>
        <w:spacing w:line="276" w:lineRule="auto"/>
        <w:rPr>
          <w:rFonts w:ascii="Arial" w:hAnsi="Arial" w:cs="Arial"/>
          <w:sz w:val="20"/>
          <w:szCs w:val="20"/>
        </w:rPr>
      </w:pPr>
      <w:r>
        <w:rPr>
          <w:rFonts w:ascii="Arial" w:hAnsi="Arial" w:cs="Arial"/>
          <w:sz w:val="20"/>
          <w:szCs w:val="20"/>
        </w:rPr>
        <w:t xml:space="preserve">The key findings of </w:t>
      </w:r>
      <w:r w:rsidR="00025759">
        <w:rPr>
          <w:rFonts w:ascii="Arial" w:hAnsi="Arial" w:cs="Arial"/>
          <w:sz w:val="20"/>
          <w:szCs w:val="20"/>
        </w:rPr>
        <w:t xml:space="preserve">a system driven by the second scenario </w:t>
      </w:r>
      <w:r w:rsidR="002941A2">
        <w:rPr>
          <w:rFonts w:ascii="Arial" w:hAnsi="Arial" w:cs="Arial"/>
          <w:sz w:val="20"/>
          <w:szCs w:val="20"/>
        </w:rPr>
        <w:t>are:</w:t>
      </w:r>
      <w:r>
        <w:rPr>
          <w:rFonts w:ascii="Arial" w:hAnsi="Arial" w:cs="Arial"/>
          <w:sz w:val="20"/>
          <w:szCs w:val="20"/>
        </w:rPr>
        <w:t xml:space="preserve"> </w:t>
      </w:r>
    </w:p>
    <w:p w14:paraId="46D3DAE6" w14:textId="77777777" w:rsidR="002941A2" w:rsidRDefault="005608DF" w:rsidP="00DE2E78">
      <w:pPr>
        <w:pStyle w:val="Default"/>
        <w:spacing w:line="276" w:lineRule="auto"/>
        <w:rPr>
          <w:rFonts w:ascii="Arial" w:hAnsi="Arial" w:cs="Arial"/>
          <w:sz w:val="20"/>
          <w:szCs w:val="20"/>
        </w:rPr>
      </w:pPr>
      <w:r>
        <w:rPr>
          <w:rFonts w:ascii="Arial" w:hAnsi="Arial" w:cs="Arial"/>
          <w:sz w:val="20"/>
          <w:szCs w:val="20"/>
        </w:rPr>
        <w:t xml:space="preserve"> </w:t>
      </w:r>
    </w:p>
    <w:p w14:paraId="5287EC8F" w14:textId="6F4E1C37" w:rsidR="005608DF" w:rsidRPr="00C22CA1" w:rsidRDefault="002941A2" w:rsidP="00AD2801">
      <w:pPr>
        <w:pStyle w:val="Default"/>
        <w:numPr>
          <w:ilvl w:val="0"/>
          <w:numId w:val="39"/>
        </w:numPr>
        <w:spacing w:line="276" w:lineRule="auto"/>
        <w:ind w:left="426" w:hanging="284"/>
        <w:rPr>
          <w:rFonts w:ascii="Arial" w:hAnsi="Arial" w:cs="Arial"/>
          <w:sz w:val="20"/>
          <w:szCs w:val="20"/>
        </w:rPr>
      </w:pPr>
      <w:r w:rsidRPr="00C22CA1">
        <w:rPr>
          <w:rFonts w:ascii="Arial" w:hAnsi="Arial" w:cs="Arial"/>
          <w:sz w:val="20"/>
          <w:szCs w:val="20"/>
        </w:rPr>
        <w:t>T</w:t>
      </w:r>
      <w:r w:rsidR="005608DF" w:rsidRPr="00C22CA1">
        <w:rPr>
          <w:rFonts w:ascii="Arial" w:hAnsi="Arial" w:cs="Arial"/>
          <w:sz w:val="20"/>
          <w:szCs w:val="20"/>
        </w:rPr>
        <w:t>he increase in volatility</w:t>
      </w:r>
      <w:r w:rsidR="00150613" w:rsidRPr="00C22CA1">
        <w:rPr>
          <w:rFonts w:ascii="Arial" w:hAnsi="Arial" w:cs="Arial"/>
          <w:sz w:val="20"/>
          <w:szCs w:val="20"/>
        </w:rPr>
        <w:t xml:space="preserve"> due to a more correlated wind fleet</w:t>
      </w:r>
      <w:r w:rsidR="00CC04BA" w:rsidRPr="00C22CA1">
        <w:rPr>
          <w:rFonts w:ascii="Arial" w:hAnsi="Arial" w:cs="Arial"/>
          <w:sz w:val="20"/>
          <w:szCs w:val="20"/>
        </w:rPr>
        <w:t>:</w:t>
      </w:r>
    </w:p>
    <w:p w14:paraId="74BEBC9C" w14:textId="68E6F4F2" w:rsidR="005608DF" w:rsidRDefault="005608DF" w:rsidP="00AD2801">
      <w:pPr>
        <w:pStyle w:val="Default"/>
        <w:numPr>
          <w:ilvl w:val="0"/>
          <w:numId w:val="40"/>
        </w:numPr>
        <w:spacing w:line="276" w:lineRule="auto"/>
        <w:rPr>
          <w:rFonts w:ascii="Arial" w:hAnsi="Arial" w:cs="Arial"/>
          <w:sz w:val="20"/>
          <w:szCs w:val="20"/>
        </w:rPr>
      </w:pPr>
      <w:r w:rsidRPr="005608DF">
        <w:rPr>
          <w:rFonts w:ascii="Arial" w:hAnsi="Arial" w:cs="Arial"/>
          <w:sz w:val="20"/>
          <w:szCs w:val="20"/>
        </w:rPr>
        <w:t xml:space="preserve">This leads to an </w:t>
      </w:r>
      <w:r w:rsidRPr="00DE2E78">
        <w:rPr>
          <w:rFonts w:ascii="Arial" w:hAnsi="Arial" w:cs="Arial"/>
          <w:b/>
          <w:bCs/>
          <w:sz w:val="20"/>
          <w:szCs w:val="20"/>
        </w:rPr>
        <w:t>increase in wholesale price volatility</w:t>
      </w:r>
      <w:r w:rsidRPr="005608DF">
        <w:rPr>
          <w:rFonts w:ascii="Arial" w:hAnsi="Arial" w:cs="Arial"/>
          <w:sz w:val="20"/>
          <w:szCs w:val="20"/>
        </w:rPr>
        <w:t>, with the spread between the 90th and 10th percentile</w:t>
      </w:r>
      <w:r>
        <w:rPr>
          <w:rFonts w:ascii="Arial" w:hAnsi="Arial" w:cs="Arial"/>
          <w:sz w:val="20"/>
          <w:szCs w:val="20"/>
        </w:rPr>
        <w:t xml:space="preserve"> </w:t>
      </w:r>
      <w:r w:rsidRPr="005608DF">
        <w:rPr>
          <w:rFonts w:ascii="Arial" w:hAnsi="Arial" w:cs="Arial"/>
          <w:sz w:val="20"/>
          <w:szCs w:val="20"/>
        </w:rPr>
        <w:t>prices reaching ~5% in the early 2040s, adding to the challenges of managing</w:t>
      </w:r>
      <w:r>
        <w:rPr>
          <w:rFonts w:ascii="Arial" w:hAnsi="Arial" w:cs="Arial"/>
          <w:sz w:val="20"/>
          <w:szCs w:val="20"/>
        </w:rPr>
        <w:t xml:space="preserve"> </w:t>
      </w:r>
      <w:r w:rsidRPr="005608DF">
        <w:rPr>
          <w:rFonts w:ascii="Arial" w:hAnsi="Arial" w:cs="Arial"/>
          <w:sz w:val="20"/>
          <w:szCs w:val="20"/>
        </w:rPr>
        <w:t>merchant risk exposure</w:t>
      </w:r>
    </w:p>
    <w:p w14:paraId="7F4FE2F1" w14:textId="30C1A245" w:rsidR="005608DF" w:rsidRPr="004C210D" w:rsidRDefault="005608DF" w:rsidP="004C210D">
      <w:pPr>
        <w:pStyle w:val="Default"/>
        <w:numPr>
          <w:ilvl w:val="0"/>
          <w:numId w:val="40"/>
        </w:numPr>
        <w:rPr>
          <w:rFonts w:ascii="Arial" w:hAnsi="Arial" w:cs="Arial"/>
          <w:sz w:val="20"/>
          <w:szCs w:val="20"/>
        </w:rPr>
      </w:pPr>
      <w:r w:rsidRPr="00DE2E78">
        <w:rPr>
          <w:rFonts w:ascii="Arial" w:hAnsi="Arial" w:cs="Arial"/>
          <w:b/>
          <w:bCs/>
          <w:sz w:val="20"/>
          <w:szCs w:val="20"/>
        </w:rPr>
        <w:t>Wholesale capture prices for wind are slightly lower</w:t>
      </w:r>
      <w:r w:rsidR="007D7609">
        <w:rPr>
          <w:rFonts w:ascii="Arial" w:hAnsi="Arial" w:cs="Arial"/>
          <w:b/>
          <w:bCs/>
          <w:sz w:val="20"/>
          <w:szCs w:val="20"/>
        </w:rPr>
        <w:t>,</w:t>
      </w:r>
      <w:r>
        <w:rPr>
          <w:rFonts w:ascii="Arial" w:hAnsi="Arial" w:cs="Arial"/>
          <w:sz w:val="20"/>
          <w:szCs w:val="20"/>
        </w:rPr>
        <w:t xml:space="preserve"> </w:t>
      </w:r>
      <w:r w:rsidR="004C210D" w:rsidRPr="004C210D">
        <w:rPr>
          <w:rFonts w:ascii="Arial" w:hAnsi="Arial" w:cs="Arial"/>
          <w:sz w:val="20"/>
          <w:szCs w:val="20"/>
        </w:rPr>
        <w:t>potentially</w:t>
      </w:r>
      <w:r w:rsidR="004C210D">
        <w:rPr>
          <w:rFonts w:ascii="Arial" w:hAnsi="Arial" w:cs="Arial"/>
          <w:sz w:val="20"/>
          <w:szCs w:val="20"/>
        </w:rPr>
        <w:t xml:space="preserve"> </w:t>
      </w:r>
      <w:r w:rsidR="004C210D" w:rsidRPr="004C210D">
        <w:rPr>
          <w:rFonts w:ascii="Arial" w:hAnsi="Arial" w:cs="Arial"/>
          <w:b/>
          <w:bCs/>
          <w:sz w:val="20"/>
          <w:szCs w:val="20"/>
        </w:rPr>
        <w:t xml:space="preserve">requiring higher </w:t>
      </w:r>
      <w:proofErr w:type="spellStart"/>
      <w:r w:rsidR="004C210D" w:rsidRPr="004C210D">
        <w:rPr>
          <w:rFonts w:ascii="Arial" w:hAnsi="Arial" w:cs="Arial"/>
          <w:b/>
          <w:bCs/>
          <w:sz w:val="20"/>
          <w:szCs w:val="20"/>
        </w:rPr>
        <w:t>CfD</w:t>
      </w:r>
      <w:proofErr w:type="spellEnd"/>
      <w:r w:rsidR="004C210D" w:rsidRPr="004C210D">
        <w:rPr>
          <w:rFonts w:ascii="Arial" w:hAnsi="Arial" w:cs="Arial"/>
          <w:b/>
          <w:bCs/>
          <w:sz w:val="20"/>
          <w:szCs w:val="20"/>
        </w:rPr>
        <w:t xml:space="preserve"> bids</w:t>
      </w:r>
      <w:r w:rsidR="004C210D" w:rsidRPr="004C210D">
        <w:rPr>
          <w:rFonts w:ascii="Arial" w:hAnsi="Arial" w:cs="Arial"/>
          <w:sz w:val="20"/>
          <w:szCs w:val="20"/>
        </w:rPr>
        <w:t xml:space="preserve"> to meet</w:t>
      </w:r>
      <w:r w:rsidR="004C210D">
        <w:rPr>
          <w:rFonts w:ascii="Arial" w:hAnsi="Arial" w:cs="Arial"/>
          <w:sz w:val="20"/>
          <w:szCs w:val="20"/>
        </w:rPr>
        <w:t xml:space="preserve"> </w:t>
      </w:r>
      <w:r w:rsidR="004C210D" w:rsidRPr="004C210D">
        <w:rPr>
          <w:rFonts w:ascii="Arial" w:hAnsi="Arial" w:cs="Arial"/>
          <w:sz w:val="20"/>
          <w:szCs w:val="20"/>
        </w:rPr>
        <w:t>investor hurdle rates.</w:t>
      </w:r>
    </w:p>
    <w:p w14:paraId="0065B17A" w14:textId="299522A5" w:rsidR="005608DF" w:rsidRPr="00AD2801" w:rsidRDefault="005608DF" w:rsidP="00AD2801">
      <w:pPr>
        <w:pStyle w:val="Default"/>
        <w:numPr>
          <w:ilvl w:val="0"/>
          <w:numId w:val="40"/>
        </w:numPr>
        <w:spacing w:line="276" w:lineRule="auto"/>
        <w:rPr>
          <w:rFonts w:ascii="Arial" w:hAnsi="Arial" w:cs="Arial"/>
          <w:b/>
          <w:bCs/>
          <w:sz w:val="20"/>
          <w:szCs w:val="20"/>
        </w:rPr>
      </w:pPr>
      <w:r w:rsidRPr="005608DF">
        <w:rPr>
          <w:rFonts w:ascii="Arial" w:hAnsi="Arial" w:cs="Arial"/>
          <w:sz w:val="20"/>
          <w:szCs w:val="20"/>
        </w:rPr>
        <w:t xml:space="preserve">The </w:t>
      </w:r>
      <w:r w:rsidRPr="00DE2E78">
        <w:rPr>
          <w:rFonts w:ascii="Arial" w:hAnsi="Arial" w:cs="Arial"/>
          <w:b/>
          <w:bCs/>
          <w:sz w:val="20"/>
          <w:szCs w:val="20"/>
        </w:rPr>
        <w:t>need for energy balancing also increases</w:t>
      </w:r>
      <w:r w:rsidRPr="005608DF">
        <w:rPr>
          <w:rFonts w:ascii="Arial" w:hAnsi="Arial" w:cs="Arial"/>
          <w:sz w:val="20"/>
          <w:szCs w:val="20"/>
        </w:rPr>
        <w:t>, with net imbalance volumes increasing by ~3% in the mid-</w:t>
      </w:r>
      <w:r>
        <w:rPr>
          <w:rFonts w:ascii="Arial" w:hAnsi="Arial" w:cs="Arial"/>
          <w:sz w:val="20"/>
          <w:szCs w:val="20"/>
        </w:rPr>
        <w:t xml:space="preserve"> </w:t>
      </w:r>
      <w:r w:rsidRPr="005608DF">
        <w:rPr>
          <w:rFonts w:ascii="Arial" w:hAnsi="Arial" w:cs="Arial"/>
          <w:sz w:val="20"/>
          <w:szCs w:val="20"/>
        </w:rPr>
        <w:t xml:space="preserve">2040s, alongside a small increase in imbalance prices, potentially </w:t>
      </w:r>
      <w:r w:rsidRPr="00AD2801">
        <w:rPr>
          <w:rFonts w:ascii="Arial" w:hAnsi="Arial" w:cs="Arial"/>
          <w:b/>
          <w:bCs/>
          <w:sz w:val="20"/>
          <w:szCs w:val="20"/>
        </w:rPr>
        <w:t>contributing to higher balancing costs for consumers and generators.</w:t>
      </w:r>
    </w:p>
    <w:p w14:paraId="595ED3DB" w14:textId="25F25014" w:rsidR="002941A2" w:rsidRPr="00AD2801" w:rsidRDefault="002941A2" w:rsidP="00AD2801">
      <w:pPr>
        <w:pStyle w:val="Default"/>
        <w:spacing w:line="276" w:lineRule="auto"/>
        <w:ind w:left="426" w:hanging="284"/>
        <w:rPr>
          <w:rFonts w:ascii="Arial" w:hAnsi="Arial" w:cs="Arial"/>
          <w:b/>
          <w:bCs/>
          <w:sz w:val="20"/>
          <w:szCs w:val="20"/>
        </w:rPr>
      </w:pPr>
    </w:p>
    <w:p w14:paraId="5BF6C8BC" w14:textId="77F53473" w:rsidR="002941A2" w:rsidRPr="005608DF" w:rsidRDefault="002941A2" w:rsidP="00AD2801">
      <w:pPr>
        <w:pStyle w:val="Default"/>
        <w:numPr>
          <w:ilvl w:val="0"/>
          <w:numId w:val="41"/>
        </w:numPr>
        <w:spacing w:line="276" w:lineRule="auto"/>
        <w:ind w:left="426" w:hanging="284"/>
        <w:jc w:val="both"/>
        <w:rPr>
          <w:rFonts w:ascii="Arial" w:hAnsi="Arial" w:cs="Arial"/>
          <w:sz w:val="20"/>
          <w:szCs w:val="20"/>
        </w:rPr>
      </w:pPr>
      <w:r>
        <w:rPr>
          <w:rFonts w:ascii="Arial" w:hAnsi="Arial" w:cs="Arial"/>
          <w:sz w:val="20"/>
          <w:szCs w:val="20"/>
        </w:rPr>
        <w:t>Th</w:t>
      </w:r>
      <w:r w:rsidR="00AD2801">
        <w:rPr>
          <w:rFonts w:ascii="Arial" w:hAnsi="Arial" w:cs="Arial"/>
          <w:sz w:val="20"/>
          <w:szCs w:val="20"/>
        </w:rPr>
        <w:t>e</w:t>
      </w:r>
      <w:r>
        <w:rPr>
          <w:rFonts w:ascii="Arial" w:hAnsi="Arial" w:cs="Arial"/>
          <w:sz w:val="20"/>
          <w:szCs w:val="20"/>
        </w:rPr>
        <w:t xml:space="preserve"> network </w:t>
      </w:r>
      <w:r w:rsidRPr="002941A2">
        <w:rPr>
          <w:rFonts w:ascii="Arial" w:hAnsi="Arial" w:cs="Arial"/>
          <w:b/>
          <w:bCs/>
          <w:sz w:val="20"/>
          <w:szCs w:val="20"/>
        </w:rPr>
        <w:t>will require 5-6 GW additional wind capacity in GB</w:t>
      </w:r>
      <w:r>
        <w:rPr>
          <w:rFonts w:ascii="Arial" w:hAnsi="Arial" w:cs="Arial"/>
          <w:sz w:val="20"/>
          <w:szCs w:val="20"/>
        </w:rPr>
        <w:t xml:space="preserve"> </w:t>
      </w:r>
      <w:r w:rsidRPr="002941A2">
        <w:rPr>
          <w:rFonts w:ascii="Arial" w:hAnsi="Arial" w:cs="Arial"/>
          <w:b/>
          <w:bCs/>
          <w:sz w:val="20"/>
          <w:szCs w:val="20"/>
        </w:rPr>
        <w:t>to reach net zero by 2050</w:t>
      </w:r>
      <w:r>
        <w:rPr>
          <w:rFonts w:ascii="Arial" w:hAnsi="Arial" w:cs="Arial"/>
          <w:sz w:val="20"/>
          <w:szCs w:val="20"/>
        </w:rPr>
        <w:t xml:space="preserve"> which will need to be supported by a </w:t>
      </w:r>
      <w:r w:rsidRPr="002941A2">
        <w:rPr>
          <w:rFonts w:ascii="Arial" w:hAnsi="Arial" w:cs="Arial"/>
          <w:b/>
          <w:bCs/>
          <w:sz w:val="20"/>
          <w:szCs w:val="20"/>
        </w:rPr>
        <w:t>faster buildout of battery storage</w:t>
      </w:r>
      <w:r>
        <w:rPr>
          <w:rFonts w:ascii="Arial" w:hAnsi="Arial" w:cs="Arial"/>
          <w:sz w:val="20"/>
          <w:szCs w:val="20"/>
        </w:rPr>
        <w:t xml:space="preserve">. </w:t>
      </w:r>
      <w:r w:rsidRPr="002941A2">
        <w:rPr>
          <w:rFonts w:ascii="Arial" w:hAnsi="Arial" w:cs="Arial"/>
          <w:sz w:val="20"/>
          <w:szCs w:val="20"/>
        </w:rPr>
        <w:t>These changes to the capacity mix could lead to higher Capacity Market prices in the long run,</w:t>
      </w:r>
      <w:r>
        <w:rPr>
          <w:rFonts w:ascii="Arial" w:hAnsi="Arial" w:cs="Arial"/>
          <w:sz w:val="20"/>
          <w:szCs w:val="20"/>
        </w:rPr>
        <w:t xml:space="preserve"> </w:t>
      </w:r>
      <w:r w:rsidRPr="002941A2">
        <w:rPr>
          <w:rFonts w:ascii="Arial" w:hAnsi="Arial" w:cs="Arial"/>
          <w:sz w:val="20"/>
          <w:szCs w:val="20"/>
        </w:rPr>
        <w:t xml:space="preserve">particularly from the late 2030s onwards, potentially contributing to </w:t>
      </w:r>
      <w:r w:rsidRPr="002941A2">
        <w:rPr>
          <w:rFonts w:ascii="Arial" w:hAnsi="Arial" w:cs="Arial"/>
          <w:b/>
          <w:bCs/>
          <w:sz w:val="20"/>
          <w:szCs w:val="20"/>
        </w:rPr>
        <w:t xml:space="preserve">higher consumer </w:t>
      </w:r>
      <w:r w:rsidR="004C210D">
        <w:rPr>
          <w:rFonts w:ascii="Arial" w:hAnsi="Arial" w:cs="Arial"/>
          <w:b/>
          <w:bCs/>
          <w:sz w:val="20"/>
          <w:szCs w:val="20"/>
        </w:rPr>
        <w:t>bills</w:t>
      </w:r>
      <w:r w:rsidRPr="002941A2">
        <w:rPr>
          <w:rFonts w:ascii="Arial" w:hAnsi="Arial" w:cs="Arial"/>
          <w:sz w:val="20"/>
          <w:szCs w:val="20"/>
        </w:rPr>
        <w:t>.</w:t>
      </w:r>
    </w:p>
    <w:p w14:paraId="43822765" w14:textId="77777777" w:rsidR="00982CB9" w:rsidRDefault="00982CB9" w:rsidP="00982CB9">
      <w:pPr>
        <w:pStyle w:val="NormalWeb"/>
        <w:spacing w:before="0" w:beforeAutospacing="0" w:after="0" w:afterAutospacing="0" w:line="276" w:lineRule="auto"/>
        <w:jc w:val="both"/>
        <w:rPr>
          <w:rFonts w:ascii="Arial" w:hAnsi="Arial" w:cs="Arial"/>
          <w:b/>
          <w:bCs/>
          <w:sz w:val="20"/>
          <w:szCs w:val="20"/>
        </w:rPr>
      </w:pPr>
    </w:p>
    <w:p w14:paraId="4B28741E" w14:textId="6B9A8334" w:rsidR="00A1546F" w:rsidRDefault="00741AFC" w:rsidP="0017317B">
      <w:pPr>
        <w:jc w:val="both"/>
        <w:rPr>
          <w:rFonts w:ascii="Arial" w:hAnsi="Arial" w:cs="Arial"/>
          <w:color w:val="000000"/>
          <w:sz w:val="20"/>
          <w:szCs w:val="20"/>
        </w:rPr>
      </w:pPr>
      <w:r w:rsidRPr="00741AFC">
        <w:rPr>
          <w:rFonts w:ascii="Arial" w:hAnsi="Arial" w:cs="Arial"/>
          <w:sz w:val="20"/>
          <w:szCs w:val="20"/>
        </w:rPr>
        <w:t xml:space="preserve">We believe that </w:t>
      </w:r>
      <w:proofErr w:type="spellStart"/>
      <w:r w:rsidRPr="00741AFC">
        <w:rPr>
          <w:rFonts w:ascii="Arial" w:hAnsi="Arial" w:cs="Arial"/>
          <w:sz w:val="20"/>
          <w:szCs w:val="20"/>
        </w:rPr>
        <w:t>TNUo</w:t>
      </w:r>
      <w:r>
        <w:rPr>
          <w:rFonts w:ascii="Arial" w:hAnsi="Arial" w:cs="Arial"/>
          <w:sz w:val="20"/>
          <w:szCs w:val="20"/>
        </w:rPr>
        <w:t>S</w:t>
      </w:r>
      <w:proofErr w:type="spellEnd"/>
      <w:r w:rsidRPr="00741AFC">
        <w:rPr>
          <w:rFonts w:ascii="Arial" w:hAnsi="Arial" w:cs="Arial"/>
          <w:sz w:val="20"/>
          <w:szCs w:val="20"/>
        </w:rPr>
        <w:t xml:space="preserve"> reform must recognise the geographic diversity of renewables and </w:t>
      </w:r>
      <w:r>
        <w:rPr>
          <w:rFonts w:ascii="Arial" w:hAnsi="Arial" w:cs="Arial"/>
          <w:color w:val="000000"/>
          <w:sz w:val="20"/>
          <w:szCs w:val="20"/>
        </w:rPr>
        <w:t>t</w:t>
      </w:r>
      <w:r w:rsidRPr="00741AFC">
        <w:rPr>
          <w:rFonts w:ascii="Arial" w:hAnsi="Arial" w:cs="Arial"/>
          <w:color w:val="000000"/>
          <w:sz w:val="20"/>
          <w:szCs w:val="20"/>
        </w:rPr>
        <w:t>he benefits of a diverse mix of generation</w:t>
      </w:r>
      <w:r>
        <w:rPr>
          <w:rFonts w:ascii="Arial" w:hAnsi="Arial" w:cs="Arial"/>
          <w:color w:val="000000"/>
          <w:sz w:val="20"/>
          <w:szCs w:val="20"/>
        </w:rPr>
        <w:t xml:space="preserve"> alongside this.</w:t>
      </w:r>
      <w:r w:rsidR="002A15B6">
        <w:rPr>
          <w:rFonts w:ascii="Arial" w:hAnsi="Arial" w:cs="Arial"/>
          <w:color w:val="000000"/>
          <w:sz w:val="20"/>
          <w:szCs w:val="20"/>
        </w:rPr>
        <w:t xml:space="preserve"> Renewable generation is driven from where the resource is most </w:t>
      </w:r>
      <w:r w:rsidR="00AD2801">
        <w:rPr>
          <w:rFonts w:ascii="Arial" w:hAnsi="Arial" w:cs="Arial"/>
          <w:color w:val="000000"/>
          <w:sz w:val="20"/>
          <w:szCs w:val="20"/>
        </w:rPr>
        <w:t>abundant,</w:t>
      </w:r>
      <w:r w:rsidR="002A15B6">
        <w:rPr>
          <w:rFonts w:ascii="Arial" w:hAnsi="Arial" w:cs="Arial"/>
          <w:color w:val="000000"/>
          <w:sz w:val="20"/>
          <w:szCs w:val="20"/>
        </w:rPr>
        <w:t xml:space="preserve"> and the charging regime cannot keep ignoring this. We have shown extensive evidence that demonstrate</w:t>
      </w:r>
      <w:r w:rsidR="00115A74">
        <w:rPr>
          <w:rFonts w:ascii="Arial" w:hAnsi="Arial" w:cs="Arial"/>
          <w:color w:val="000000"/>
          <w:sz w:val="20"/>
          <w:szCs w:val="20"/>
        </w:rPr>
        <w:t>s</w:t>
      </w:r>
      <w:r w:rsidR="002A15B6">
        <w:rPr>
          <w:rFonts w:ascii="Arial" w:hAnsi="Arial" w:cs="Arial"/>
          <w:color w:val="000000"/>
          <w:sz w:val="20"/>
          <w:szCs w:val="20"/>
        </w:rPr>
        <w:t xml:space="preserve"> that the energy system from 2030 onwards will be driven by low carbon generation, so we believe that </w:t>
      </w:r>
      <w:r w:rsidR="00115A74">
        <w:rPr>
          <w:rFonts w:ascii="Arial" w:hAnsi="Arial" w:cs="Arial"/>
          <w:color w:val="000000"/>
          <w:sz w:val="20"/>
          <w:szCs w:val="20"/>
        </w:rPr>
        <w:t xml:space="preserve">allowance for renewable resource location </w:t>
      </w:r>
      <w:r w:rsidR="002A15B6">
        <w:rPr>
          <w:rFonts w:ascii="Arial" w:hAnsi="Arial" w:cs="Arial"/>
          <w:color w:val="000000"/>
          <w:sz w:val="20"/>
          <w:szCs w:val="20"/>
        </w:rPr>
        <w:t>is something that should be addressed in this reform</w:t>
      </w:r>
      <w:r w:rsidR="00AD2801">
        <w:rPr>
          <w:rFonts w:ascii="Arial" w:hAnsi="Arial" w:cs="Arial"/>
          <w:color w:val="000000"/>
          <w:sz w:val="20"/>
          <w:szCs w:val="20"/>
        </w:rPr>
        <w:t>.</w:t>
      </w:r>
    </w:p>
    <w:p w14:paraId="40F77D06" w14:textId="718416F5" w:rsidR="00E14CAE" w:rsidRPr="0017317B" w:rsidRDefault="00CC04BA" w:rsidP="00CC04BA">
      <w:pPr>
        <w:rPr>
          <w:rFonts w:ascii="Arial" w:hAnsi="Arial" w:cs="Arial"/>
          <w:color w:val="000000"/>
          <w:sz w:val="20"/>
          <w:szCs w:val="20"/>
        </w:rPr>
      </w:pPr>
      <w:r>
        <w:rPr>
          <w:rFonts w:ascii="Arial" w:hAnsi="Arial" w:cs="Arial"/>
          <w:color w:val="000000"/>
          <w:sz w:val="20"/>
          <w:szCs w:val="20"/>
        </w:rPr>
        <w:br w:type="page"/>
      </w:r>
    </w:p>
    <w:p w14:paraId="69FB6F53" w14:textId="3E1A3968" w:rsidR="00A1546F" w:rsidRPr="00A1546F" w:rsidRDefault="00A1546F" w:rsidP="00A1546F">
      <w:pPr>
        <w:pStyle w:val="Default"/>
        <w:numPr>
          <w:ilvl w:val="0"/>
          <w:numId w:val="27"/>
        </w:numPr>
        <w:rPr>
          <w:rFonts w:ascii="Arial" w:hAnsi="Arial" w:cs="Arial"/>
          <w:b/>
          <w:bCs/>
          <w:sz w:val="22"/>
          <w:szCs w:val="22"/>
        </w:rPr>
      </w:pPr>
      <w:r w:rsidRPr="00A1546F">
        <w:rPr>
          <w:rFonts w:ascii="Arial" w:hAnsi="Arial" w:cs="Arial"/>
          <w:b/>
          <w:bCs/>
          <w:sz w:val="22"/>
          <w:szCs w:val="22"/>
        </w:rPr>
        <w:lastRenderedPageBreak/>
        <w:t xml:space="preserve">Priority areas for reform </w:t>
      </w:r>
    </w:p>
    <w:p w14:paraId="090F6069" w14:textId="63024DFE" w:rsidR="00741AFC" w:rsidRPr="00741AFC" w:rsidRDefault="00741AFC" w:rsidP="00473DF5">
      <w:pPr>
        <w:pStyle w:val="NormalWeb"/>
        <w:spacing w:before="0" w:beforeAutospacing="0" w:after="0" w:afterAutospacing="0" w:line="276" w:lineRule="auto"/>
        <w:jc w:val="both"/>
        <w:rPr>
          <w:rFonts w:ascii="Arial" w:hAnsi="Arial" w:cs="Arial"/>
          <w:sz w:val="20"/>
          <w:szCs w:val="20"/>
        </w:rPr>
      </w:pPr>
    </w:p>
    <w:p w14:paraId="416FD4C2" w14:textId="58302B8A" w:rsidR="00741AFC" w:rsidRDefault="007741F8" w:rsidP="007741F8">
      <w:pPr>
        <w:pStyle w:val="NormalWeb"/>
        <w:numPr>
          <w:ilvl w:val="1"/>
          <w:numId w:val="27"/>
        </w:numPr>
        <w:spacing w:before="0" w:beforeAutospacing="0" w:after="0" w:afterAutospacing="0" w:line="276" w:lineRule="auto"/>
        <w:jc w:val="both"/>
        <w:rPr>
          <w:rFonts w:ascii="Arial" w:hAnsi="Arial" w:cs="Arial"/>
          <w:b/>
          <w:bCs/>
          <w:sz w:val="20"/>
          <w:szCs w:val="20"/>
        </w:rPr>
      </w:pPr>
      <w:r>
        <w:rPr>
          <w:rFonts w:ascii="Arial" w:hAnsi="Arial" w:cs="Arial"/>
          <w:b/>
          <w:bCs/>
          <w:sz w:val="20"/>
          <w:szCs w:val="20"/>
        </w:rPr>
        <w:t>Wider Tariff</w:t>
      </w:r>
    </w:p>
    <w:p w14:paraId="4B0341A5" w14:textId="77777777" w:rsidR="007741F8" w:rsidRPr="007741F8" w:rsidRDefault="007741F8" w:rsidP="007741F8">
      <w:pPr>
        <w:pStyle w:val="NormalWeb"/>
        <w:spacing w:before="0" w:beforeAutospacing="0" w:after="0" w:afterAutospacing="0" w:line="276" w:lineRule="auto"/>
        <w:jc w:val="both"/>
        <w:rPr>
          <w:rFonts w:ascii="Arial" w:hAnsi="Arial" w:cs="Arial"/>
          <w:sz w:val="20"/>
          <w:szCs w:val="20"/>
        </w:rPr>
      </w:pPr>
    </w:p>
    <w:p w14:paraId="78EC6FA3" w14:textId="58C72C0B" w:rsidR="007741F8" w:rsidRDefault="00586303" w:rsidP="000D3274">
      <w:pPr>
        <w:pStyle w:val="NormalWeb"/>
        <w:spacing w:before="0" w:beforeAutospacing="0" w:after="0" w:afterAutospacing="0" w:line="276" w:lineRule="auto"/>
        <w:jc w:val="both"/>
        <w:rPr>
          <w:rFonts w:ascii="Arial" w:eastAsiaTheme="minorHAnsi" w:hAnsi="Arial" w:cs="Arial"/>
          <w:color w:val="000000"/>
          <w:sz w:val="20"/>
          <w:szCs w:val="20"/>
          <w:lang w:eastAsia="en-US"/>
        </w:rPr>
      </w:pPr>
      <w:r w:rsidRPr="00586303">
        <w:rPr>
          <w:rFonts w:ascii="Arial" w:eastAsiaTheme="minorHAnsi" w:hAnsi="Arial" w:cs="Arial"/>
          <w:color w:val="000000"/>
          <w:sz w:val="20"/>
          <w:szCs w:val="20"/>
          <w:lang w:eastAsia="en-US"/>
        </w:rPr>
        <w:t xml:space="preserve">Today, </w:t>
      </w:r>
      <w:r>
        <w:rPr>
          <w:rFonts w:ascii="Arial" w:eastAsiaTheme="minorHAnsi" w:hAnsi="Arial" w:cs="Arial"/>
          <w:color w:val="000000"/>
          <w:sz w:val="20"/>
          <w:szCs w:val="20"/>
          <w:lang w:eastAsia="en-US"/>
        </w:rPr>
        <w:t xml:space="preserve">the wider tariff is the main element of the </w:t>
      </w:r>
      <w:proofErr w:type="spellStart"/>
      <w:r>
        <w:rPr>
          <w:rFonts w:ascii="Arial" w:eastAsiaTheme="minorHAnsi" w:hAnsi="Arial" w:cs="Arial"/>
          <w:color w:val="000000"/>
          <w:sz w:val="20"/>
          <w:szCs w:val="20"/>
          <w:lang w:eastAsia="en-US"/>
        </w:rPr>
        <w:t>TNUoS</w:t>
      </w:r>
      <w:proofErr w:type="spellEnd"/>
      <w:r>
        <w:rPr>
          <w:rFonts w:ascii="Arial" w:eastAsiaTheme="minorHAnsi" w:hAnsi="Arial" w:cs="Arial"/>
          <w:color w:val="000000"/>
          <w:sz w:val="20"/>
          <w:szCs w:val="20"/>
          <w:lang w:eastAsia="en-US"/>
        </w:rPr>
        <w:t xml:space="preserve"> methodology that is driv</w:t>
      </w:r>
      <w:r w:rsidR="007D7609">
        <w:rPr>
          <w:rFonts w:ascii="Arial" w:eastAsiaTheme="minorHAnsi" w:hAnsi="Arial" w:cs="Arial"/>
          <w:color w:val="000000"/>
          <w:sz w:val="20"/>
          <w:szCs w:val="20"/>
          <w:lang w:eastAsia="en-US"/>
        </w:rPr>
        <w:t>ing</w:t>
      </w:r>
      <w:r>
        <w:rPr>
          <w:rFonts w:ascii="Arial" w:eastAsiaTheme="minorHAnsi" w:hAnsi="Arial" w:cs="Arial"/>
          <w:color w:val="000000"/>
          <w:sz w:val="20"/>
          <w:szCs w:val="20"/>
          <w:lang w:eastAsia="en-US"/>
        </w:rPr>
        <w:t xml:space="preserve"> the current disparity on locational charges</w:t>
      </w:r>
      <w:r w:rsidR="00FA08F7">
        <w:rPr>
          <w:rFonts w:ascii="Arial" w:eastAsiaTheme="minorHAnsi" w:hAnsi="Arial" w:cs="Arial"/>
          <w:color w:val="000000"/>
          <w:sz w:val="20"/>
          <w:szCs w:val="20"/>
          <w:lang w:eastAsia="en-US"/>
        </w:rPr>
        <w:t>.</w:t>
      </w:r>
      <w:r w:rsidR="00EC7151">
        <w:rPr>
          <w:rFonts w:ascii="Arial" w:eastAsiaTheme="minorHAnsi" w:hAnsi="Arial" w:cs="Arial"/>
          <w:color w:val="000000"/>
          <w:sz w:val="20"/>
          <w:szCs w:val="20"/>
          <w:lang w:eastAsia="en-US"/>
        </w:rPr>
        <w:t xml:space="preserve"> </w:t>
      </w:r>
      <w:r w:rsidR="00B356FE">
        <w:rPr>
          <w:rFonts w:ascii="Arial" w:eastAsiaTheme="minorHAnsi" w:hAnsi="Arial" w:cs="Arial"/>
          <w:color w:val="000000"/>
          <w:sz w:val="20"/>
          <w:szCs w:val="20"/>
          <w:lang w:eastAsia="en-US"/>
        </w:rPr>
        <w:t xml:space="preserve">The </w:t>
      </w:r>
      <w:r w:rsidR="008D7669">
        <w:rPr>
          <w:rFonts w:ascii="Arial" w:eastAsiaTheme="minorHAnsi" w:hAnsi="Arial" w:cs="Arial"/>
          <w:color w:val="000000"/>
          <w:sz w:val="20"/>
          <w:szCs w:val="20"/>
          <w:lang w:eastAsia="en-US"/>
        </w:rPr>
        <w:t>following</w:t>
      </w:r>
      <w:r w:rsidR="00115A74">
        <w:rPr>
          <w:rFonts w:ascii="Arial" w:eastAsiaTheme="minorHAnsi" w:hAnsi="Arial" w:cs="Arial"/>
          <w:color w:val="000000"/>
          <w:sz w:val="20"/>
          <w:szCs w:val="20"/>
          <w:lang w:eastAsia="en-US"/>
        </w:rPr>
        <w:t xml:space="preserve"> extract from a</w:t>
      </w:r>
      <w:r w:rsidR="00B356FE">
        <w:rPr>
          <w:rFonts w:ascii="Arial" w:eastAsiaTheme="minorHAnsi" w:hAnsi="Arial" w:cs="Arial"/>
          <w:color w:val="000000"/>
          <w:sz w:val="20"/>
          <w:szCs w:val="20"/>
          <w:lang w:eastAsia="en-US"/>
        </w:rPr>
        <w:t xml:space="preserve"> report</w:t>
      </w:r>
      <w:r w:rsidR="008D7669">
        <w:rPr>
          <w:rStyle w:val="FootnoteReference"/>
          <w:rFonts w:ascii="Arial" w:eastAsiaTheme="minorHAnsi" w:hAnsi="Arial" w:cs="Arial"/>
          <w:color w:val="000000"/>
          <w:sz w:val="20"/>
          <w:szCs w:val="20"/>
          <w:lang w:eastAsia="en-US"/>
        </w:rPr>
        <w:footnoteReference w:id="17"/>
      </w:r>
      <w:r w:rsidR="00B356FE">
        <w:rPr>
          <w:rFonts w:ascii="Arial" w:eastAsiaTheme="minorHAnsi" w:hAnsi="Arial" w:cs="Arial"/>
          <w:color w:val="000000"/>
          <w:sz w:val="20"/>
          <w:szCs w:val="20"/>
          <w:lang w:eastAsia="en-US"/>
        </w:rPr>
        <w:t xml:space="preserve"> </w:t>
      </w:r>
      <w:r w:rsidR="00115A74">
        <w:rPr>
          <w:rFonts w:ascii="Arial" w:eastAsiaTheme="minorHAnsi" w:hAnsi="Arial" w:cs="Arial"/>
          <w:color w:val="000000"/>
          <w:sz w:val="20"/>
          <w:szCs w:val="20"/>
          <w:lang w:eastAsia="en-US"/>
        </w:rPr>
        <w:t xml:space="preserve">by </w:t>
      </w:r>
      <w:r w:rsidR="00B356FE">
        <w:rPr>
          <w:rFonts w:ascii="Arial" w:eastAsiaTheme="minorHAnsi" w:hAnsi="Arial" w:cs="Arial"/>
          <w:color w:val="000000"/>
          <w:sz w:val="20"/>
          <w:szCs w:val="20"/>
          <w:lang w:eastAsia="en-US"/>
        </w:rPr>
        <w:t>National Grid</w:t>
      </w:r>
      <w:r w:rsidR="008D7669">
        <w:rPr>
          <w:rFonts w:ascii="Arial" w:eastAsiaTheme="minorHAnsi" w:hAnsi="Arial" w:cs="Arial"/>
          <w:color w:val="000000"/>
          <w:sz w:val="20"/>
          <w:szCs w:val="20"/>
          <w:lang w:eastAsia="en-US"/>
        </w:rPr>
        <w:t xml:space="preserve"> ESO</w:t>
      </w:r>
      <w:r>
        <w:rPr>
          <w:rFonts w:ascii="Arial" w:eastAsiaTheme="minorHAnsi" w:hAnsi="Arial" w:cs="Arial"/>
          <w:color w:val="000000"/>
          <w:sz w:val="20"/>
          <w:szCs w:val="20"/>
          <w:lang w:eastAsia="en-US"/>
        </w:rPr>
        <w:t xml:space="preserve"> </w:t>
      </w:r>
      <w:r w:rsidR="008D7669">
        <w:rPr>
          <w:rFonts w:ascii="Arial" w:eastAsiaTheme="minorHAnsi" w:hAnsi="Arial" w:cs="Arial"/>
          <w:color w:val="000000"/>
          <w:sz w:val="20"/>
          <w:szCs w:val="20"/>
          <w:lang w:eastAsia="en-US"/>
        </w:rPr>
        <w:t xml:space="preserve">shows the forecast of wider tariffs for 2022/23. </w:t>
      </w:r>
      <w:r w:rsidR="00214C54">
        <w:rPr>
          <w:rFonts w:ascii="Arial" w:eastAsiaTheme="minorHAnsi" w:hAnsi="Arial" w:cs="Arial"/>
          <w:color w:val="000000"/>
          <w:sz w:val="20"/>
          <w:szCs w:val="20"/>
          <w:lang w:eastAsia="en-US"/>
        </w:rPr>
        <w:t>From</w:t>
      </w:r>
      <w:r w:rsidR="008D7669">
        <w:rPr>
          <w:rFonts w:ascii="Arial" w:eastAsiaTheme="minorHAnsi" w:hAnsi="Arial" w:cs="Arial"/>
          <w:color w:val="000000"/>
          <w:sz w:val="20"/>
          <w:szCs w:val="20"/>
          <w:lang w:eastAsia="en-US"/>
        </w:rPr>
        <w:t xml:space="preserve"> this </w:t>
      </w:r>
      <w:r w:rsidR="000D3274">
        <w:rPr>
          <w:rFonts w:ascii="Arial" w:eastAsiaTheme="minorHAnsi" w:hAnsi="Arial" w:cs="Arial"/>
          <w:color w:val="000000"/>
          <w:sz w:val="20"/>
          <w:szCs w:val="20"/>
          <w:lang w:eastAsia="en-US"/>
        </w:rPr>
        <w:t xml:space="preserve">it </w:t>
      </w:r>
      <w:r w:rsidR="008D7669">
        <w:rPr>
          <w:rFonts w:ascii="Arial" w:eastAsiaTheme="minorHAnsi" w:hAnsi="Arial" w:cs="Arial"/>
          <w:color w:val="000000"/>
          <w:sz w:val="20"/>
          <w:szCs w:val="20"/>
          <w:lang w:eastAsia="en-US"/>
        </w:rPr>
        <w:t>is possible to see that the tariff</w:t>
      </w:r>
      <w:r w:rsidR="007D7609">
        <w:rPr>
          <w:rFonts w:ascii="Arial" w:eastAsiaTheme="minorHAnsi" w:hAnsi="Arial" w:cs="Arial"/>
          <w:color w:val="000000"/>
          <w:sz w:val="20"/>
          <w:szCs w:val="20"/>
          <w:lang w:eastAsia="en-US"/>
        </w:rPr>
        <w:t>s</w:t>
      </w:r>
      <w:r w:rsidR="008D7669">
        <w:rPr>
          <w:rFonts w:ascii="Arial" w:eastAsiaTheme="minorHAnsi" w:hAnsi="Arial" w:cs="Arial"/>
          <w:color w:val="000000"/>
          <w:sz w:val="20"/>
          <w:szCs w:val="20"/>
          <w:lang w:eastAsia="en-US"/>
        </w:rPr>
        <w:t xml:space="preserve"> for intermittent technologies in the north of Scotland are extremely high compared to those in England and Wales. North Scotland tariff </w:t>
      </w:r>
      <w:r w:rsidR="00F81918">
        <w:rPr>
          <w:rFonts w:ascii="Arial" w:eastAsiaTheme="minorHAnsi" w:hAnsi="Arial" w:cs="Arial"/>
          <w:color w:val="000000"/>
          <w:sz w:val="20"/>
          <w:szCs w:val="20"/>
          <w:lang w:eastAsia="en-US"/>
        </w:rPr>
        <w:t xml:space="preserve">is </w:t>
      </w:r>
      <w:r w:rsidR="008D7669">
        <w:rPr>
          <w:rFonts w:ascii="Arial" w:eastAsiaTheme="minorHAnsi" w:hAnsi="Arial" w:cs="Arial"/>
          <w:color w:val="000000"/>
          <w:sz w:val="20"/>
          <w:szCs w:val="20"/>
          <w:lang w:eastAsia="en-US"/>
        </w:rPr>
        <w:t>around 25</w:t>
      </w:r>
      <w:r w:rsidR="00F81918">
        <w:rPr>
          <w:rFonts w:ascii="Arial" w:eastAsiaTheme="minorHAnsi" w:hAnsi="Arial" w:cs="Arial"/>
          <w:color w:val="000000"/>
          <w:sz w:val="20"/>
          <w:szCs w:val="20"/>
          <w:lang w:eastAsia="en-US"/>
        </w:rPr>
        <w:t xml:space="preserve"> </w:t>
      </w:r>
      <w:r w:rsidR="008D7669">
        <w:rPr>
          <w:rFonts w:ascii="Arial" w:eastAsiaTheme="minorHAnsi" w:hAnsi="Arial" w:cs="Arial"/>
          <w:color w:val="000000"/>
          <w:sz w:val="20"/>
          <w:szCs w:val="20"/>
          <w:lang w:eastAsia="en-US"/>
        </w:rPr>
        <w:t>£/KW while West Devon and Cornwall</w:t>
      </w:r>
      <w:r w:rsidR="00F81918">
        <w:rPr>
          <w:rFonts w:ascii="Arial" w:eastAsiaTheme="minorHAnsi" w:hAnsi="Arial" w:cs="Arial"/>
          <w:color w:val="000000"/>
          <w:sz w:val="20"/>
          <w:szCs w:val="20"/>
          <w:lang w:eastAsia="en-US"/>
        </w:rPr>
        <w:t xml:space="preserve"> tariff</w:t>
      </w:r>
      <w:r w:rsidR="008D7669">
        <w:rPr>
          <w:rFonts w:ascii="Arial" w:eastAsiaTheme="minorHAnsi" w:hAnsi="Arial" w:cs="Arial"/>
          <w:color w:val="000000"/>
          <w:sz w:val="20"/>
          <w:szCs w:val="20"/>
          <w:lang w:eastAsia="en-US"/>
        </w:rPr>
        <w:t xml:space="preserve"> is</w:t>
      </w:r>
      <w:r w:rsidR="00231ABD">
        <w:rPr>
          <w:rFonts w:ascii="Arial" w:eastAsiaTheme="minorHAnsi" w:hAnsi="Arial" w:cs="Arial"/>
          <w:color w:val="000000"/>
          <w:sz w:val="20"/>
          <w:szCs w:val="20"/>
          <w:lang w:eastAsia="en-US"/>
        </w:rPr>
        <w:t xml:space="preserve"> </w:t>
      </w:r>
      <w:r w:rsidR="008D7669">
        <w:rPr>
          <w:rFonts w:ascii="Arial" w:eastAsiaTheme="minorHAnsi" w:hAnsi="Arial" w:cs="Arial"/>
          <w:color w:val="000000"/>
          <w:sz w:val="20"/>
          <w:szCs w:val="20"/>
          <w:lang w:eastAsia="en-US"/>
        </w:rPr>
        <w:t>-3.9 £/KW</w:t>
      </w:r>
      <w:r w:rsidR="00231ABD">
        <w:rPr>
          <w:rFonts w:ascii="Arial" w:eastAsiaTheme="minorHAnsi" w:hAnsi="Arial" w:cs="Arial"/>
          <w:color w:val="000000"/>
          <w:sz w:val="20"/>
          <w:szCs w:val="20"/>
          <w:lang w:eastAsia="en-US"/>
        </w:rPr>
        <w:t xml:space="preserve"> (see table below)</w:t>
      </w:r>
      <w:r w:rsidR="008D7669">
        <w:rPr>
          <w:rFonts w:ascii="Arial" w:eastAsiaTheme="minorHAnsi" w:hAnsi="Arial" w:cs="Arial"/>
          <w:color w:val="000000"/>
          <w:sz w:val="20"/>
          <w:szCs w:val="20"/>
          <w:lang w:eastAsia="en-US"/>
        </w:rPr>
        <w:t>.</w:t>
      </w:r>
    </w:p>
    <w:p w14:paraId="11A021EF" w14:textId="474277EF" w:rsidR="00B356FE" w:rsidRDefault="00B356FE" w:rsidP="007741F8">
      <w:pPr>
        <w:pStyle w:val="NormalWeb"/>
        <w:spacing w:before="0" w:beforeAutospacing="0" w:after="0" w:afterAutospacing="0" w:line="276" w:lineRule="auto"/>
        <w:jc w:val="both"/>
        <w:rPr>
          <w:rFonts w:ascii="Arial" w:eastAsiaTheme="minorHAnsi" w:hAnsi="Arial" w:cs="Arial"/>
          <w:color w:val="000000"/>
          <w:sz w:val="20"/>
          <w:szCs w:val="20"/>
          <w:lang w:eastAsia="en-US"/>
        </w:rPr>
      </w:pPr>
    </w:p>
    <w:p w14:paraId="5BFFE8CF" w14:textId="1B071543" w:rsidR="00B356FE" w:rsidRPr="00FE6CB0" w:rsidRDefault="00B356FE" w:rsidP="00B356FE">
      <w:pPr>
        <w:pStyle w:val="NormalWeb"/>
        <w:spacing w:before="0" w:beforeAutospacing="0" w:after="0" w:afterAutospacing="0" w:line="276" w:lineRule="auto"/>
        <w:jc w:val="center"/>
        <w:rPr>
          <w:rFonts w:ascii="Arial" w:eastAsiaTheme="minorHAnsi" w:hAnsi="Arial" w:cs="Arial"/>
          <w:color w:val="000000"/>
          <w:sz w:val="18"/>
          <w:szCs w:val="18"/>
          <w:lang w:eastAsia="en-US"/>
        </w:rPr>
      </w:pPr>
      <w:r w:rsidRPr="00FE6CB0">
        <w:rPr>
          <w:rFonts w:ascii="Arial" w:eastAsiaTheme="minorHAnsi" w:hAnsi="Arial" w:cs="Arial"/>
          <w:color w:val="000000"/>
          <w:sz w:val="18"/>
          <w:szCs w:val="18"/>
          <w:lang w:eastAsia="en-US"/>
        </w:rPr>
        <w:t xml:space="preserve">Table 2: </w:t>
      </w:r>
      <w:r w:rsidR="000D3274">
        <w:rPr>
          <w:rFonts w:ascii="Arial" w:eastAsiaTheme="minorHAnsi" w:hAnsi="Arial" w:cs="Arial"/>
          <w:color w:val="000000"/>
          <w:sz w:val="18"/>
          <w:szCs w:val="18"/>
          <w:lang w:eastAsia="en-US"/>
        </w:rPr>
        <w:t xml:space="preserve">National Grid ESO. </w:t>
      </w:r>
      <w:r w:rsidRPr="00FE6CB0">
        <w:rPr>
          <w:rFonts w:ascii="Arial" w:eastAsiaTheme="minorHAnsi" w:hAnsi="Arial" w:cs="Arial"/>
          <w:color w:val="000000"/>
          <w:sz w:val="18"/>
          <w:szCs w:val="18"/>
          <w:lang w:eastAsia="en-US"/>
        </w:rPr>
        <w:t>Generation Wider Tariff</w:t>
      </w:r>
      <w:r w:rsidR="000D3274">
        <w:rPr>
          <w:rStyle w:val="FootnoteReference"/>
          <w:rFonts w:ascii="Arial" w:eastAsiaTheme="minorHAnsi" w:hAnsi="Arial" w:cs="Arial"/>
          <w:color w:val="000000"/>
          <w:sz w:val="20"/>
          <w:szCs w:val="20"/>
          <w:lang w:eastAsia="en-US"/>
        </w:rPr>
        <w:footnoteReference w:id="18"/>
      </w:r>
      <w:r w:rsidR="000D3274">
        <w:rPr>
          <w:rFonts w:ascii="Arial" w:eastAsiaTheme="minorHAnsi" w:hAnsi="Arial" w:cs="Arial"/>
          <w:color w:val="000000"/>
          <w:sz w:val="18"/>
          <w:szCs w:val="18"/>
          <w:lang w:eastAsia="en-US"/>
        </w:rPr>
        <w:t>, p11.</w:t>
      </w:r>
    </w:p>
    <w:p w14:paraId="44AB5D6A" w14:textId="6F192D6B" w:rsidR="00B356FE" w:rsidRDefault="00B356FE" w:rsidP="00B356FE">
      <w:pPr>
        <w:pStyle w:val="NormalWeb"/>
        <w:spacing w:before="0" w:beforeAutospacing="0" w:after="0" w:afterAutospacing="0" w:line="276" w:lineRule="auto"/>
        <w:jc w:val="center"/>
        <w:rPr>
          <w:rFonts w:ascii="Arial" w:eastAsiaTheme="minorHAnsi" w:hAnsi="Arial" w:cs="Arial"/>
          <w:color w:val="000000"/>
          <w:sz w:val="20"/>
          <w:szCs w:val="20"/>
          <w:lang w:eastAsia="en-US"/>
        </w:rPr>
      </w:pPr>
      <w:r>
        <w:rPr>
          <w:noProof/>
        </w:rPr>
        <w:drawing>
          <wp:inline distT="0" distB="0" distL="0" distR="0" wp14:anchorId="33F04E4B" wp14:editId="3B1A73DD">
            <wp:extent cx="5474159" cy="3645724"/>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6"/>
                    <a:stretch>
                      <a:fillRect/>
                    </a:stretch>
                  </pic:blipFill>
                  <pic:spPr>
                    <a:xfrm>
                      <a:off x="0" y="0"/>
                      <a:ext cx="5480427" cy="3649898"/>
                    </a:xfrm>
                    <a:prstGeom prst="rect">
                      <a:avLst/>
                    </a:prstGeom>
                  </pic:spPr>
                </pic:pic>
              </a:graphicData>
            </a:graphic>
          </wp:inline>
        </w:drawing>
      </w:r>
    </w:p>
    <w:p w14:paraId="26BFCA7C" w14:textId="26C7B550" w:rsidR="00B356FE" w:rsidRDefault="00B356FE" w:rsidP="007741F8">
      <w:pPr>
        <w:pStyle w:val="NormalWeb"/>
        <w:spacing w:before="0" w:beforeAutospacing="0" w:after="0" w:afterAutospacing="0" w:line="276" w:lineRule="auto"/>
        <w:jc w:val="both"/>
        <w:rPr>
          <w:rFonts w:ascii="Arial" w:eastAsiaTheme="minorHAnsi" w:hAnsi="Arial" w:cs="Arial"/>
          <w:color w:val="000000"/>
          <w:sz w:val="20"/>
          <w:szCs w:val="20"/>
          <w:lang w:eastAsia="en-US"/>
        </w:rPr>
      </w:pPr>
    </w:p>
    <w:p w14:paraId="3B34BEDF" w14:textId="1F931ED0" w:rsidR="00A1546F" w:rsidRDefault="001444DA" w:rsidP="00473DF5">
      <w:pPr>
        <w:pStyle w:val="NormalWeb"/>
        <w:spacing w:before="0" w:beforeAutospacing="0" w:after="0" w:afterAutospacing="0" w:line="276" w:lineRule="auto"/>
        <w:jc w:val="both"/>
        <w:rPr>
          <w:rFonts w:ascii="Arial" w:hAnsi="Arial" w:cs="Arial"/>
          <w:b/>
          <w:bCs/>
          <w:sz w:val="20"/>
          <w:szCs w:val="20"/>
        </w:rPr>
      </w:pPr>
      <w:r>
        <w:rPr>
          <w:rFonts w:ascii="Arial" w:eastAsiaTheme="minorHAnsi" w:hAnsi="Arial" w:cs="Arial"/>
          <w:color w:val="000000"/>
          <w:sz w:val="20"/>
          <w:szCs w:val="20"/>
          <w:lang w:eastAsia="en-US"/>
        </w:rPr>
        <w:t>The main elements of the wider tariffs</w:t>
      </w:r>
      <w:r w:rsidR="00E54B55">
        <w:rPr>
          <w:rFonts w:ascii="Arial" w:eastAsiaTheme="minorHAnsi" w:hAnsi="Arial" w:cs="Arial"/>
          <w:color w:val="000000"/>
          <w:sz w:val="20"/>
          <w:szCs w:val="20"/>
          <w:lang w:eastAsia="en-US"/>
        </w:rPr>
        <w:t xml:space="preserve"> for intermittent generators</w:t>
      </w:r>
      <w:r>
        <w:rPr>
          <w:rFonts w:ascii="Arial" w:eastAsiaTheme="minorHAnsi" w:hAnsi="Arial" w:cs="Arial"/>
          <w:color w:val="000000"/>
          <w:sz w:val="20"/>
          <w:szCs w:val="20"/>
          <w:lang w:eastAsia="en-US"/>
        </w:rPr>
        <w:t xml:space="preserve"> are illustrated in the figure below. </w:t>
      </w:r>
    </w:p>
    <w:p w14:paraId="6869F6A4" w14:textId="4427D9E1" w:rsidR="001444DA" w:rsidRDefault="001444DA" w:rsidP="00473DF5">
      <w:pPr>
        <w:pStyle w:val="NormalWeb"/>
        <w:spacing w:before="0" w:beforeAutospacing="0" w:after="0" w:afterAutospacing="0" w:line="276" w:lineRule="auto"/>
        <w:jc w:val="both"/>
        <w:rPr>
          <w:rFonts w:ascii="Arial" w:hAnsi="Arial" w:cs="Arial"/>
          <w:b/>
          <w:bCs/>
          <w:sz w:val="20"/>
          <w:szCs w:val="20"/>
        </w:rPr>
      </w:pPr>
    </w:p>
    <w:p w14:paraId="47DE6095" w14:textId="60374ECC" w:rsidR="001444DA" w:rsidRDefault="001444DA" w:rsidP="001444DA">
      <w:pPr>
        <w:pStyle w:val="NormalWeb"/>
        <w:spacing w:before="0" w:beforeAutospacing="0" w:after="0" w:afterAutospacing="0" w:line="276" w:lineRule="auto"/>
        <w:jc w:val="center"/>
        <w:rPr>
          <w:rFonts w:ascii="Arial" w:hAnsi="Arial" w:cs="Arial"/>
          <w:b/>
          <w:bCs/>
          <w:sz w:val="20"/>
          <w:szCs w:val="20"/>
        </w:rPr>
      </w:pPr>
      <w:r>
        <w:rPr>
          <w:noProof/>
        </w:rPr>
        <w:drawing>
          <wp:inline distT="0" distB="0" distL="0" distR="0" wp14:anchorId="44D6E0D2" wp14:editId="05FB88BF">
            <wp:extent cx="4767976" cy="1595116"/>
            <wp:effectExtent l="0" t="0" r="0" b="5715"/>
            <wp:docPr id="8" name="Picture 8"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first-aid kit&#10;&#10;Description automatically generated"/>
                    <pic:cNvPicPr/>
                  </pic:nvPicPr>
                  <pic:blipFill>
                    <a:blip r:embed="rId17"/>
                    <a:stretch>
                      <a:fillRect/>
                    </a:stretch>
                  </pic:blipFill>
                  <pic:spPr>
                    <a:xfrm>
                      <a:off x="0" y="0"/>
                      <a:ext cx="4779704" cy="1599040"/>
                    </a:xfrm>
                    <a:prstGeom prst="rect">
                      <a:avLst/>
                    </a:prstGeom>
                  </pic:spPr>
                </pic:pic>
              </a:graphicData>
            </a:graphic>
          </wp:inline>
        </w:drawing>
      </w:r>
    </w:p>
    <w:p w14:paraId="6B9943D2" w14:textId="75A4807F" w:rsidR="001444DA" w:rsidRPr="00ED119C" w:rsidRDefault="001444DA" w:rsidP="00473DF5">
      <w:pPr>
        <w:pStyle w:val="NormalWeb"/>
        <w:spacing w:before="0" w:beforeAutospacing="0" w:after="0" w:afterAutospacing="0" w:line="276" w:lineRule="auto"/>
        <w:jc w:val="both"/>
        <w:rPr>
          <w:rFonts w:ascii="Arial" w:hAnsi="Arial" w:cs="Arial"/>
          <w:sz w:val="20"/>
          <w:szCs w:val="20"/>
        </w:rPr>
      </w:pPr>
      <w:r w:rsidRPr="00ED119C">
        <w:rPr>
          <w:rFonts w:ascii="Arial" w:hAnsi="Arial" w:cs="Arial"/>
          <w:sz w:val="20"/>
          <w:szCs w:val="20"/>
        </w:rPr>
        <w:t>Where:</w:t>
      </w:r>
    </w:p>
    <w:p w14:paraId="60812828" w14:textId="77777777" w:rsidR="001444DA" w:rsidRDefault="001444DA" w:rsidP="001444DA">
      <w:pPr>
        <w:pStyle w:val="NormalWeb"/>
        <w:numPr>
          <w:ilvl w:val="0"/>
          <w:numId w:val="41"/>
        </w:numPr>
        <w:spacing w:before="0" w:beforeAutospacing="0" w:after="0" w:afterAutospacing="0" w:line="276" w:lineRule="auto"/>
        <w:jc w:val="both"/>
        <w:rPr>
          <w:rFonts w:ascii="Arial" w:eastAsiaTheme="minorHAnsi" w:hAnsi="Arial" w:cs="Arial"/>
          <w:color w:val="000000"/>
          <w:sz w:val="20"/>
          <w:szCs w:val="20"/>
          <w:lang w:eastAsia="en-US"/>
        </w:rPr>
      </w:pPr>
      <w:r w:rsidRPr="001444DA">
        <w:rPr>
          <w:rFonts w:ascii="Arial" w:eastAsiaTheme="minorHAnsi" w:hAnsi="Arial" w:cs="Arial"/>
          <w:b/>
          <w:bCs/>
          <w:color w:val="000000"/>
          <w:sz w:val="20"/>
          <w:szCs w:val="20"/>
          <w:lang w:eastAsia="en-US"/>
        </w:rPr>
        <w:t>ALF</w:t>
      </w:r>
      <w:r w:rsidRPr="001444DA">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Annual load factor</w:t>
      </w:r>
    </w:p>
    <w:p w14:paraId="08A8CA70" w14:textId="013A8F81" w:rsidR="001444DA" w:rsidRDefault="001444DA" w:rsidP="001444DA">
      <w:pPr>
        <w:pStyle w:val="NormalWeb"/>
        <w:numPr>
          <w:ilvl w:val="0"/>
          <w:numId w:val="41"/>
        </w:numPr>
        <w:spacing w:before="0" w:beforeAutospacing="0" w:after="0" w:afterAutospacing="0" w:line="276" w:lineRule="auto"/>
        <w:jc w:val="both"/>
        <w:rPr>
          <w:rFonts w:ascii="Arial" w:eastAsiaTheme="minorHAnsi" w:hAnsi="Arial" w:cs="Arial"/>
          <w:color w:val="000000"/>
          <w:sz w:val="20"/>
          <w:szCs w:val="20"/>
          <w:lang w:eastAsia="en-US"/>
        </w:rPr>
      </w:pPr>
      <w:r w:rsidRPr="001444DA">
        <w:rPr>
          <w:rFonts w:ascii="Arial" w:eastAsiaTheme="minorHAnsi" w:hAnsi="Arial" w:cs="Arial"/>
          <w:color w:val="000000"/>
          <w:sz w:val="20"/>
          <w:szCs w:val="20"/>
          <w:lang w:eastAsia="en-US"/>
        </w:rPr>
        <w:lastRenderedPageBreak/>
        <w:t xml:space="preserve">The </w:t>
      </w:r>
      <w:r w:rsidRPr="001444DA">
        <w:rPr>
          <w:rFonts w:ascii="Arial" w:eastAsiaTheme="minorHAnsi" w:hAnsi="Arial" w:cs="Arial"/>
          <w:b/>
          <w:bCs/>
          <w:color w:val="000000"/>
          <w:sz w:val="20"/>
          <w:szCs w:val="20"/>
          <w:lang w:eastAsia="en-US"/>
        </w:rPr>
        <w:t>Year Round Shared</w:t>
      </w:r>
      <w:r w:rsidRPr="001444DA">
        <w:rPr>
          <w:rFonts w:ascii="Arial" w:eastAsiaTheme="minorHAnsi" w:hAnsi="Arial" w:cs="Arial"/>
          <w:color w:val="000000"/>
          <w:sz w:val="20"/>
          <w:szCs w:val="20"/>
          <w:lang w:eastAsia="en-US"/>
        </w:rPr>
        <w:t xml:space="preserve"> and </w:t>
      </w:r>
      <w:proofErr w:type="gramStart"/>
      <w:r w:rsidRPr="001444DA">
        <w:rPr>
          <w:rFonts w:ascii="Arial" w:eastAsiaTheme="minorHAnsi" w:hAnsi="Arial" w:cs="Arial"/>
          <w:b/>
          <w:bCs/>
          <w:color w:val="000000"/>
          <w:sz w:val="20"/>
          <w:szCs w:val="20"/>
          <w:lang w:eastAsia="en-US"/>
        </w:rPr>
        <w:t>Year Round</w:t>
      </w:r>
      <w:proofErr w:type="gramEnd"/>
      <w:r w:rsidRPr="001444DA">
        <w:rPr>
          <w:rFonts w:ascii="Arial" w:eastAsiaTheme="minorHAnsi" w:hAnsi="Arial" w:cs="Arial"/>
          <w:b/>
          <w:bCs/>
          <w:color w:val="000000"/>
          <w:sz w:val="20"/>
          <w:szCs w:val="20"/>
          <w:lang w:eastAsia="en-US"/>
        </w:rPr>
        <w:t xml:space="preserve"> Not Shared</w:t>
      </w:r>
      <w:r w:rsidR="007D7609">
        <w:rPr>
          <w:rFonts w:ascii="Arial" w:eastAsiaTheme="minorHAnsi" w:hAnsi="Arial" w:cs="Arial"/>
          <w:color w:val="000000"/>
          <w:sz w:val="20"/>
          <w:szCs w:val="20"/>
          <w:lang w:eastAsia="en-US"/>
        </w:rPr>
        <w:t>.</w:t>
      </w:r>
      <w:r>
        <w:rPr>
          <w:rFonts w:ascii="Arial" w:eastAsiaTheme="minorHAnsi" w:hAnsi="Arial" w:cs="Arial"/>
          <w:color w:val="000000"/>
          <w:sz w:val="20"/>
          <w:szCs w:val="20"/>
          <w:lang w:eastAsia="en-US"/>
        </w:rPr>
        <w:t xml:space="preserve"> These </w:t>
      </w:r>
      <w:r w:rsidRPr="001444DA">
        <w:rPr>
          <w:rFonts w:ascii="Arial" w:eastAsiaTheme="minorHAnsi" w:hAnsi="Arial" w:cs="Arial"/>
          <w:color w:val="000000"/>
          <w:sz w:val="20"/>
          <w:szCs w:val="20"/>
          <w:lang w:eastAsia="en-US"/>
        </w:rPr>
        <w:t xml:space="preserve">elements represent the proportion of transmission network costs shared with other zones, and those specific to each </w:t>
      </w:r>
      <w:proofErr w:type="gramStart"/>
      <w:r w:rsidRPr="001444DA">
        <w:rPr>
          <w:rFonts w:ascii="Arial" w:eastAsiaTheme="minorHAnsi" w:hAnsi="Arial" w:cs="Arial"/>
          <w:color w:val="000000"/>
          <w:sz w:val="20"/>
          <w:szCs w:val="20"/>
          <w:lang w:eastAsia="en-US"/>
        </w:rPr>
        <w:t>particular zone</w:t>
      </w:r>
      <w:proofErr w:type="gramEnd"/>
      <w:r w:rsidRPr="001444DA">
        <w:rPr>
          <w:rFonts w:ascii="Arial" w:eastAsiaTheme="minorHAnsi" w:hAnsi="Arial" w:cs="Arial"/>
          <w:color w:val="000000"/>
          <w:sz w:val="20"/>
          <w:szCs w:val="20"/>
          <w:lang w:eastAsia="en-US"/>
        </w:rPr>
        <w:t xml:space="preserve"> respectively.</w:t>
      </w:r>
    </w:p>
    <w:p w14:paraId="28603BCC" w14:textId="17946BA6" w:rsidR="001444DA" w:rsidRPr="008B0852" w:rsidRDefault="001444DA" w:rsidP="001444DA">
      <w:pPr>
        <w:pStyle w:val="NormalWeb"/>
        <w:numPr>
          <w:ilvl w:val="0"/>
          <w:numId w:val="41"/>
        </w:numPr>
        <w:spacing w:after="0"/>
        <w:jc w:val="both"/>
        <w:rPr>
          <w:rFonts w:ascii="Arial" w:eastAsiaTheme="minorHAnsi" w:hAnsi="Arial" w:cs="Arial"/>
          <w:color w:val="000000"/>
          <w:sz w:val="20"/>
          <w:szCs w:val="20"/>
          <w:lang w:eastAsia="en-US"/>
        </w:rPr>
      </w:pPr>
      <w:r w:rsidRPr="001444DA">
        <w:rPr>
          <w:rFonts w:ascii="Arial" w:eastAsiaTheme="minorHAnsi" w:hAnsi="Arial" w:cs="Arial"/>
          <w:b/>
          <w:bCs/>
          <w:color w:val="000000"/>
          <w:sz w:val="20"/>
          <w:szCs w:val="20"/>
          <w:lang w:eastAsia="en-US"/>
        </w:rPr>
        <w:t>Adjustment element</w:t>
      </w:r>
      <w:r>
        <w:rPr>
          <w:rFonts w:ascii="Arial" w:eastAsiaTheme="minorHAnsi" w:hAnsi="Arial" w:cs="Arial"/>
          <w:color w:val="000000"/>
          <w:sz w:val="20"/>
          <w:szCs w:val="20"/>
          <w:lang w:eastAsia="en-US"/>
        </w:rPr>
        <w:t xml:space="preserve"> </w:t>
      </w:r>
      <w:r w:rsidRPr="001444DA">
        <w:rPr>
          <w:rFonts w:ascii="Arial" w:eastAsiaTheme="minorHAnsi" w:hAnsi="Arial" w:cs="Arial"/>
          <w:color w:val="000000"/>
          <w:sz w:val="20"/>
          <w:szCs w:val="20"/>
          <w:lang w:eastAsia="en-US"/>
        </w:rPr>
        <w:t xml:space="preserve">is a flat rate for all generation zones which adds a non-locational charge (which may be positive or negative) to the Wider </w:t>
      </w:r>
      <w:proofErr w:type="spellStart"/>
      <w:r w:rsidRPr="001444DA">
        <w:rPr>
          <w:rFonts w:ascii="Arial" w:eastAsiaTheme="minorHAnsi" w:hAnsi="Arial" w:cs="Arial"/>
          <w:color w:val="000000"/>
          <w:sz w:val="20"/>
          <w:szCs w:val="20"/>
          <w:lang w:eastAsia="en-US"/>
        </w:rPr>
        <w:t>TNUoS</w:t>
      </w:r>
      <w:proofErr w:type="spellEnd"/>
      <w:r w:rsidRPr="001444DA">
        <w:rPr>
          <w:rFonts w:ascii="Arial" w:eastAsiaTheme="minorHAnsi" w:hAnsi="Arial" w:cs="Arial"/>
          <w:color w:val="000000"/>
          <w:sz w:val="20"/>
          <w:szCs w:val="20"/>
          <w:lang w:eastAsia="en-US"/>
        </w:rPr>
        <w:t xml:space="preserve"> tariff, to ensure that the correct amount </w:t>
      </w:r>
      <w:r w:rsidRPr="008B0852">
        <w:rPr>
          <w:rFonts w:ascii="Arial" w:eastAsiaTheme="minorHAnsi" w:hAnsi="Arial" w:cs="Arial"/>
          <w:color w:val="000000"/>
          <w:sz w:val="20"/>
          <w:szCs w:val="20"/>
          <w:lang w:eastAsia="en-US"/>
        </w:rPr>
        <w:t xml:space="preserve">of aggregate revenue is collected from </w:t>
      </w:r>
      <w:proofErr w:type="gramStart"/>
      <w:r w:rsidRPr="008B0852">
        <w:rPr>
          <w:rFonts w:ascii="Arial" w:eastAsiaTheme="minorHAnsi" w:hAnsi="Arial" w:cs="Arial"/>
          <w:color w:val="000000"/>
          <w:sz w:val="20"/>
          <w:szCs w:val="20"/>
          <w:lang w:eastAsia="en-US"/>
        </w:rPr>
        <w:t>generators as a whole</w:t>
      </w:r>
      <w:proofErr w:type="gramEnd"/>
      <w:r w:rsidRPr="008B0852">
        <w:rPr>
          <w:rFonts w:ascii="Arial" w:eastAsiaTheme="minorHAnsi" w:hAnsi="Arial" w:cs="Arial"/>
          <w:color w:val="000000"/>
          <w:sz w:val="20"/>
          <w:szCs w:val="20"/>
          <w:lang w:eastAsia="en-US"/>
        </w:rPr>
        <w:t>.</w:t>
      </w:r>
    </w:p>
    <w:p w14:paraId="32684C02" w14:textId="14BD72E7" w:rsidR="001444DA" w:rsidRDefault="00315D3A" w:rsidP="00473DF5">
      <w:pPr>
        <w:pStyle w:val="NormalWeb"/>
        <w:spacing w:before="0" w:beforeAutospacing="0" w:after="0" w:afterAutospacing="0" w:line="276" w:lineRule="auto"/>
        <w:jc w:val="both"/>
        <w:rPr>
          <w:rFonts w:ascii="Arial" w:hAnsi="Arial" w:cs="Arial"/>
          <w:sz w:val="20"/>
          <w:szCs w:val="20"/>
        </w:rPr>
      </w:pPr>
      <w:r w:rsidRPr="008B0852">
        <w:rPr>
          <w:rFonts w:ascii="Arial" w:hAnsi="Arial" w:cs="Arial"/>
          <w:sz w:val="20"/>
          <w:szCs w:val="20"/>
        </w:rPr>
        <w:t xml:space="preserve">We think that the </w:t>
      </w:r>
      <w:r w:rsidRPr="008B0852">
        <w:rPr>
          <w:rFonts w:ascii="Arial" w:hAnsi="Arial" w:cs="Arial"/>
          <w:b/>
          <w:bCs/>
          <w:sz w:val="20"/>
          <w:szCs w:val="20"/>
        </w:rPr>
        <w:t>Year Round Shared</w:t>
      </w:r>
      <w:r w:rsidRPr="008B0852">
        <w:rPr>
          <w:rFonts w:ascii="Arial" w:hAnsi="Arial" w:cs="Arial"/>
          <w:sz w:val="20"/>
          <w:szCs w:val="20"/>
        </w:rPr>
        <w:t xml:space="preserve"> and </w:t>
      </w:r>
      <w:proofErr w:type="gramStart"/>
      <w:r w:rsidRPr="008B0852">
        <w:rPr>
          <w:rFonts w:ascii="Arial" w:hAnsi="Arial" w:cs="Arial"/>
          <w:b/>
          <w:bCs/>
          <w:sz w:val="20"/>
          <w:szCs w:val="20"/>
        </w:rPr>
        <w:t>Year Round</w:t>
      </w:r>
      <w:proofErr w:type="gramEnd"/>
      <w:r w:rsidRPr="008B0852">
        <w:rPr>
          <w:rFonts w:ascii="Arial" w:hAnsi="Arial" w:cs="Arial"/>
          <w:b/>
          <w:bCs/>
          <w:sz w:val="20"/>
          <w:szCs w:val="20"/>
        </w:rPr>
        <w:t xml:space="preserve"> Not Shared</w:t>
      </w:r>
      <w:r w:rsidRPr="008B0852">
        <w:rPr>
          <w:rFonts w:ascii="Arial" w:hAnsi="Arial" w:cs="Arial"/>
          <w:sz w:val="20"/>
          <w:szCs w:val="20"/>
        </w:rPr>
        <w:t xml:space="preserve"> elements</w:t>
      </w:r>
      <w:r w:rsidR="00DD25E4" w:rsidRPr="008B0852">
        <w:rPr>
          <w:rFonts w:ascii="Arial" w:hAnsi="Arial" w:cs="Arial"/>
          <w:sz w:val="20"/>
          <w:szCs w:val="20"/>
        </w:rPr>
        <w:t xml:space="preserve"> of the wider tariff</w:t>
      </w:r>
      <w:r w:rsidRPr="008B0852">
        <w:rPr>
          <w:rFonts w:ascii="Arial" w:hAnsi="Arial" w:cs="Arial"/>
          <w:sz w:val="20"/>
          <w:szCs w:val="20"/>
        </w:rPr>
        <w:t xml:space="preserve"> require a review in order to have a mo</w:t>
      </w:r>
      <w:r w:rsidR="007D7609" w:rsidRPr="008B0852">
        <w:rPr>
          <w:rFonts w:ascii="Arial" w:hAnsi="Arial" w:cs="Arial"/>
          <w:sz w:val="20"/>
          <w:szCs w:val="20"/>
        </w:rPr>
        <w:t>re</w:t>
      </w:r>
      <w:r w:rsidRPr="008B0852">
        <w:rPr>
          <w:rFonts w:ascii="Arial" w:hAnsi="Arial" w:cs="Arial"/>
          <w:sz w:val="20"/>
          <w:szCs w:val="20"/>
        </w:rPr>
        <w:t xml:space="preserve"> cost reflective tariff</w:t>
      </w:r>
      <w:r w:rsidR="00DD25E4" w:rsidRPr="008B0852">
        <w:rPr>
          <w:rFonts w:ascii="Arial" w:hAnsi="Arial" w:cs="Arial"/>
          <w:sz w:val="20"/>
          <w:szCs w:val="20"/>
        </w:rPr>
        <w:t xml:space="preserve"> in alignment with net zero</w:t>
      </w:r>
      <w:r w:rsidRPr="008B0852">
        <w:rPr>
          <w:rFonts w:ascii="Arial" w:hAnsi="Arial" w:cs="Arial"/>
          <w:sz w:val="20"/>
          <w:szCs w:val="20"/>
        </w:rPr>
        <w:t xml:space="preserve">. </w:t>
      </w:r>
      <w:r w:rsidR="00DD25E4" w:rsidRPr="008B0852">
        <w:rPr>
          <w:rFonts w:ascii="Arial" w:hAnsi="Arial" w:cs="Arial"/>
          <w:sz w:val="20"/>
          <w:szCs w:val="20"/>
        </w:rPr>
        <w:t>These are the</w:t>
      </w:r>
      <w:r w:rsidRPr="008B0852">
        <w:rPr>
          <w:rFonts w:ascii="Arial" w:hAnsi="Arial" w:cs="Arial"/>
          <w:sz w:val="20"/>
          <w:szCs w:val="20"/>
        </w:rPr>
        <w:t xml:space="preserve"> elements specific to each </w:t>
      </w:r>
      <w:proofErr w:type="gramStart"/>
      <w:r w:rsidRPr="008B0852">
        <w:rPr>
          <w:rFonts w:ascii="Arial" w:hAnsi="Arial" w:cs="Arial"/>
          <w:sz w:val="20"/>
          <w:szCs w:val="20"/>
        </w:rPr>
        <w:t>particular zone</w:t>
      </w:r>
      <w:proofErr w:type="gramEnd"/>
      <w:r w:rsidRPr="008B0852">
        <w:rPr>
          <w:rFonts w:ascii="Arial" w:hAnsi="Arial" w:cs="Arial"/>
          <w:sz w:val="20"/>
          <w:szCs w:val="20"/>
        </w:rPr>
        <w:t xml:space="preserve">, hence </w:t>
      </w:r>
      <w:r w:rsidR="00D370A4" w:rsidRPr="008B0852">
        <w:rPr>
          <w:rFonts w:ascii="Arial" w:hAnsi="Arial" w:cs="Arial"/>
          <w:sz w:val="20"/>
          <w:szCs w:val="20"/>
        </w:rPr>
        <w:t xml:space="preserve">these </w:t>
      </w:r>
      <w:r w:rsidRPr="008B0852">
        <w:rPr>
          <w:rFonts w:ascii="Arial" w:hAnsi="Arial" w:cs="Arial"/>
          <w:sz w:val="20"/>
          <w:szCs w:val="20"/>
        </w:rPr>
        <w:t xml:space="preserve">are the </w:t>
      </w:r>
      <w:r w:rsidR="00DD25E4" w:rsidRPr="008B0852">
        <w:rPr>
          <w:rFonts w:ascii="Arial" w:hAnsi="Arial" w:cs="Arial"/>
          <w:sz w:val="20"/>
          <w:szCs w:val="20"/>
        </w:rPr>
        <w:t>factors</w:t>
      </w:r>
      <w:r w:rsidRPr="008B0852">
        <w:rPr>
          <w:rFonts w:ascii="Arial" w:hAnsi="Arial" w:cs="Arial"/>
          <w:sz w:val="20"/>
          <w:szCs w:val="20"/>
        </w:rPr>
        <w:t xml:space="preserve"> of the methodology that are driv</w:t>
      </w:r>
      <w:r w:rsidR="007D7609" w:rsidRPr="008B0852">
        <w:rPr>
          <w:rFonts w:ascii="Arial" w:hAnsi="Arial" w:cs="Arial"/>
          <w:sz w:val="20"/>
          <w:szCs w:val="20"/>
        </w:rPr>
        <w:t>ing</w:t>
      </w:r>
      <w:r w:rsidRPr="008B0852">
        <w:rPr>
          <w:rFonts w:ascii="Arial" w:hAnsi="Arial" w:cs="Arial"/>
          <w:sz w:val="20"/>
          <w:szCs w:val="20"/>
        </w:rPr>
        <w:t xml:space="preserve"> higher cost</w:t>
      </w:r>
      <w:r w:rsidR="00ED119C" w:rsidRPr="008B0852">
        <w:rPr>
          <w:rFonts w:ascii="Arial" w:hAnsi="Arial" w:cs="Arial"/>
          <w:sz w:val="20"/>
          <w:szCs w:val="20"/>
        </w:rPr>
        <w:t>s</w:t>
      </w:r>
      <w:r w:rsidRPr="008B0852">
        <w:rPr>
          <w:rFonts w:ascii="Arial" w:hAnsi="Arial" w:cs="Arial"/>
          <w:sz w:val="20"/>
          <w:szCs w:val="20"/>
        </w:rPr>
        <w:t xml:space="preserve"> in northern areas</w:t>
      </w:r>
      <w:r w:rsidR="00D370A4" w:rsidRPr="008B0852">
        <w:rPr>
          <w:rFonts w:ascii="Arial" w:hAnsi="Arial" w:cs="Arial"/>
          <w:sz w:val="20"/>
          <w:szCs w:val="20"/>
        </w:rPr>
        <w:t xml:space="preserve">. </w:t>
      </w:r>
    </w:p>
    <w:p w14:paraId="2C8E091F" w14:textId="6000A59A" w:rsidR="00ED119C" w:rsidRDefault="00ED119C" w:rsidP="00473DF5">
      <w:pPr>
        <w:pStyle w:val="NormalWeb"/>
        <w:spacing w:before="0" w:beforeAutospacing="0" w:after="0" w:afterAutospacing="0" w:line="276" w:lineRule="auto"/>
        <w:jc w:val="both"/>
        <w:rPr>
          <w:rFonts w:ascii="Arial" w:hAnsi="Arial" w:cs="Arial"/>
          <w:sz w:val="20"/>
          <w:szCs w:val="20"/>
        </w:rPr>
      </w:pPr>
    </w:p>
    <w:p w14:paraId="510CCE27" w14:textId="47643ED6" w:rsidR="00ED119C" w:rsidRDefault="00ED119C" w:rsidP="00ED119C">
      <w:pPr>
        <w:pStyle w:val="NormalWeb"/>
        <w:numPr>
          <w:ilvl w:val="2"/>
          <w:numId w:val="27"/>
        </w:numPr>
        <w:spacing w:before="0" w:beforeAutospacing="0" w:after="0" w:afterAutospacing="0" w:line="276" w:lineRule="auto"/>
        <w:jc w:val="both"/>
        <w:rPr>
          <w:rFonts w:ascii="Arial" w:hAnsi="Arial" w:cs="Arial"/>
          <w:b/>
          <w:bCs/>
          <w:sz w:val="20"/>
          <w:szCs w:val="20"/>
        </w:rPr>
      </w:pPr>
      <w:r w:rsidRPr="00ED119C">
        <w:rPr>
          <w:rFonts w:ascii="Arial" w:hAnsi="Arial" w:cs="Arial"/>
          <w:b/>
          <w:bCs/>
          <w:sz w:val="20"/>
          <w:szCs w:val="20"/>
        </w:rPr>
        <w:t xml:space="preserve">Use of multipliers </w:t>
      </w:r>
      <w:r>
        <w:rPr>
          <w:rFonts w:ascii="Arial" w:hAnsi="Arial" w:cs="Arial"/>
          <w:b/>
          <w:bCs/>
          <w:sz w:val="20"/>
          <w:szCs w:val="20"/>
        </w:rPr>
        <w:t>in the charging methodology</w:t>
      </w:r>
    </w:p>
    <w:p w14:paraId="6BCB7B78" w14:textId="77777777" w:rsidR="00E54B55" w:rsidRDefault="00E54B55" w:rsidP="00E54B55">
      <w:pPr>
        <w:pStyle w:val="NormalWeb"/>
        <w:spacing w:before="0" w:beforeAutospacing="0" w:after="0" w:afterAutospacing="0" w:line="276" w:lineRule="auto"/>
        <w:ind w:left="1080"/>
        <w:jc w:val="both"/>
        <w:rPr>
          <w:rFonts w:ascii="Arial" w:hAnsi="Arial" w:cs="Arial"/>
          <w:b/>
          <w:bCs/>
          <w:sz w:val="20"/>
          <w:szCs w:val="20"/>
        </w:rPr>
      </w:pPr>
    </w:p>
    <w:p w14:paraId="65B45BD2" w14:textId="2AA8B8F0" w:rsidR="00AF48C6" w:rsidRDefault="00ED119C" w:rsidP="00473DF5">
      <w:pPr>
        <w:pStyle w:val="NormalWeb"/>
        <w:spacing w:before="0" w:beforeAutospacing="0" w:after="0" w:afterAutospacing="0" w:line="276" w:lineRule="auto"/>
        <w:jc w:val="both"/>
        <w:rPr>
          <w:rFonts w:ascii="Arial" w:hAnsi="Arial" w:cs="Arial"/>
          <w:sz w:val="20"/>
          <w:szCs w:val="20"/>
        </w:rPr>
      </w:pPr>
      <w:r w:rsidRPr="00ED119C">
        <w:rPr>
          <w:rFonts w:ascii="Arial" w:hAnsi="Arial" w:cs="Arial"/>
          <w:sz w:val="20"/>
          <w:szCs w:val="20"/>
        </w:rPr>
        <w:t>Ofgem is proposing to consider the use of multipliers in the locational charging methodology.</w:t>
      </w:r>
      <w:r w:rsidR="003F2113">
        <w:rPr>
          <w:rFonts w:ascii="Arial" w:hAnsi="Arial" w:cs="Arial"/>
          <w:sz w:val="20"/>
          <w:szCs w:val="20"/>
        </w:rPr>
        <w:t xml:space="preserve"> Although today there are live CUSC modification proposal</w:t>
      </w:r>
      <w:r w:rsidR="007D7609">
        <w:rPr>
          <w:rFonts w:ascii="Arial" w:hAnsi="Arial" w:cs="Arial"/>
          <w:sz w:val="20"/>
          <w:szCs w:val="20"/>
        </w:rPr>
        <w:t>s</w:t>
      </w:r>
      <w:r w:rsidR="003F2113">
        <w:rPr>
          <w:rFonts w:ascii="Arial" w:hAnsi="Arial" w:cs="Arial"/>
          <w:sz w:val="20"/>
          <w:szCs w:val="20"/>
        </w:rPr>
        <w:t xml:space="preserve"> (CMP315 and CMP375) in respect to the expansion constant, the use of multipliers could potentially offset the current disparity of charges and help with </w:t>
      </w:r>
      <w:r w:rsidR="00FA08F7">
        <w:rPr>
          <w:rFonts w:ascii="Arial" w:hAnsi="Arial" w:cs="Arial"/>
          <w:sz w:val="20"/>
          <w:szCs w:val="20"/>
        </w:rPr>
        <w:t>predictability, stability</w:t>
      </w:r>
      <w:r w:rsidR="00DD25E4">
        <w:rPr>
          <w:rFonts w:ascii="Arial" w:hAnsi="Arial" w:cs="Arial"/>
          <w:sz w:val="20"/>
          <w:szCs w:val="20"/>
        </w:rPr>
        <w:t>,</w:t>
      </w:r>
      <w:r w:rsidR="00FA08F7">
        <w:rPr>
          <w:rFonts w:ascii="Arial" w:hAnsi="Arial" w:cs="Arial"/>
          <w:sz w:val="20"/>
          <w:szCs w:val="20"/>
        </w:rPr>
        <w:t xml:space="preserve"> and cost-reflectivity of the charging regime.</w:t>
      </w:r>
    </w:p>
    <w:p w14:paraId="25CB98D8" w14:textId="0EB35F27" w:rsidR="00A82BF9" w:rsidRDefault="00A82BF9" w:rsidP="00473DF5">
      <w:pPr>
        <w:pStyle w:val="NormalWeb"/>
        <w:spacing w:before="0" w:beforeAutospacing="0" w:after="0" w:afterAutospacing="0" w:line="276" w:lineRule="auto"/>
        <w:jc w:val="both"/>
        <w:rPr>
          <w:rFonts w:ascii="Arial" w:hAnsi="Arial" w:cs="Arial"/>
          <w:sz w:val="20"/>
          <w:szCs w:val="20"/>
        </w:rPr>
      </w:pPr>
    </w:p>
    <w:p w14:paraId="222E6135" w14:textId="40ED1D55" w:rsidR="00CB7756" w:rsidRDefault="00CB7756" w:rsidP="00A82BF9">
      <w:pPr>
        <w:pStyle w:val="NormalWeb"/>
        <w:numPr>
          <w:ilvl w:val="1"/>
          <w:numId w:val="27"/>
        </w:numPr>
        <w:spacing w:before="0" w:beforeAutospacing="0" w:after="0" w:afterAutospacing="0" w:line="276" w:lineRule="auto"/>
        <w:jc w:val="both"/>
        <w:rPr>
          <w:rFonts w:ascii="Arial" w:hAnsi="Arial" w:cs="Arial"/>
          <w:b/>
          <w:bCs/>
          <w:sz w:val="20"/>
          <w:szCs w:val="20"/>
        </w:rPr>
      </w:pPr>
      <w:r>
        <w:rPr>
          <w:rFonts w:ascii="Arial" w:hAnsi="Arial" w:cs="Arial"/>
          <w:b/>
          <w:bCs/>
          <w:sz w:val="20"/>
          <w:szCs w:val="20"/>
        </w:rPr>
        <w:t>Flexibility</w:t>
      </w:r>
    </w:p>
    <w:p w14:paraId="617BA0F3" w14:textId="6A667BC0" w:rsidR="00A82BF9" w:rsidRPr="00CB7756" w:rsidRDefault="00CB7756" w:rsidP="0083122F">
      <w:pPr>
        <w:spacing w:before="120"/>
        <w:jc w:val="both"/>
        <w:rPr>
          <w:rFonts w:ascii="Arial" w:eastAsia="Times New Roman" w:hAnsi="Arial" w:cs="Arial"/>
          <w:sz w:val="20"/>
          <w:szCs w:val="20"/>
          <w:lang w:eastAsia="en-GB"/>
        </w:rPr>
      </w:pPr>
      <w:r>
        <w:rPr>
          <w:rFonts w:ascii="Arial" w:eastAsia="Times New Roman" w:hAnsi="Arial" w:cs="Arial"/>
          <w:sz w:val="20"/>
          <w:szCs w:val="20"/>
          <w:lang w:eastAsia="en-GB"/>
        </w:rPr>
        <w:t>In the consultation document</w:t>
      </w:r>
      <w:r w:rsidR="00D43F8A">
        <w:rPr>
          <w:rFonts w:ascii="Arial" w:eastAsia="Times New Roman" w:hAnsi="Arial" w:cs="Arial"/>
          <w:sz w:val="20"/>
          <w:szCs w:val="20"/>
          <w:lang w:eastAsia="en-GB"/>
        </w:rPr>
        <w:t>,</w:t>
      </w:r>
      <w:r>
        <w:rPr>
          <w:rFonts w:ascii="Arial" w:eastAsia="Times New Roman" w:hAnsi="Arial" w:cs="Arial"/>
          <w:sz w:val="20"/>
          <w:szCs w:val="20"/>
          <w:lang w:eastAsia="en-GB"/>
        </w:rPr>
        <w:t xml:space="preserve"> Ofgem suggests </w:t>
      </w:r>
      <w:r w:rsidRPr="00CB7756">
        <w:rPr>
          <w:rFonts w:ascii="Arial" w:eastAsia="Times New Roman" w:hAnsi="Arial" w:cs="Arial"/>
          <w:sz w:val="20"/>
          <w:szCs w:val="20"/>
          <w:lang w:eastAsia="en-GB"/>
        </w:rPr>
        <w:t>that further work in respect of charging arrangements for storage of all sizes may be warranted in the context of its potential to provide solutions to network issues rather than to act solely as a wholesale market participant.</w:t>
      </w:r>
      <w:r>
        <w:rPr>
          <w:rFonts w:ascii="Arial" w:eastAsia="Times New Roman" w:hAnsi="Arial" w:cs="Arial"/>
          <w:sz w:val="20"/>
          <w:szCs w:val="20"/>
          <w:lang w:eastAsia="en-GB"/>
        </w:rPr>
        <w:t xml:space="preserve"> </w:t>
      </w:r>
      <w:r w:rsidRPr="00CB7756">
        <w:rPr>
          <w:rFonts w:ascii="Arial" w:eastAsia="Times New Roman" w:hAnsi="Arial" w:cs="Arial"/>
          <w:sz w:val="20"/>
          <w:szCs w:val="20"/>
          <w:lang w:eastAsia="en-GB"/>
        </w:rPr>
        <w:t xml:space="preserve">We agree that network charging is a key factor to consider in the policy regime for the development of </w:t>
      </w:r>
      <w:r>
        <w:rPr>
          <w:rFonts w:ascii="Arial" w:eastAsia="Times New Roman" w:hAnsi="Arial" w:cs="Arial"/>
          <w:sz w:val="20"/>
          <w:szCs w:val="20"/>
          <w:lang w:eastAsia="en-GB"/>
        </w:rPr>
        <w:t xml:space="preserve">storage, particularly </w:t>
      </w:r>
      <w:r w:rsidR="0043270C">
        <w:rPr>
          <w:rFonts w:ascii="Arial" w:eastAsia="Times New Roman" w:hAnsi="Arial" w:cs="Arial"/>
          <w:sz w:val="20"/>
          <w:szCs w:val="20"/>
          <w:lang w:eastAsia="en-GB"/>
        </w:rPr>
        <w:t xml:space="preserve">for </w:t>
      </w:r>
      <w:r w:rsidRPr="00CB7756">
        <w:rPr>
          <w:rFonts w:ascii="Arial" w:eastAsia="Times New Roman" w:hAnsi="Arial" w:cs="Arial"/>
          <w:sz w:val="20"/>
          <w:szCs w:val="20"/>
          <w:lang w:eastAsia="en-GB"/>
        </w:rPr>
        <w:t>Large Scale Long Duration Storage (</w:t>
      </w:r>
      <w:r w:rsidRPr="00CB7756">
        <w:rPr>
          <w:rFonts w:ascii="Arial" w:eastAsia="Times New Roman" w:hAnsi="Arial" w:cs="Arial"/>
          <w:sz w:val="20"/>
          <w:szCs w:val="20"/>
          <w:lang w:eastAsia="en-GB"/>
        </w:rPr>
        <w:t>LLES</w:t>
      </w:r>
      <w:r w:rsidRPr="00CB7756">
        <w:rPr>
          <w:rFonts w:ascii="Arial" w:eastAsia="Times New Roman" w:hAnsi="Arial" w:cs="Arial"/>
          <w:sz w:val="20"/>
          <w:szCs w:val="20"/>
          <w:lang w:eastAsia="en-GB"/>
        </w:rPr>
        <w:t>)</w:t>
      </w:r>
      <w:r w:rsidRPr="00CB7756">
        <w:rPr>
          <w:rFonts w:ascii="Arial" w:eastAsia="Times New Roman" w:hAnsi="Arial" w:cs="Arial"/>
          <w:sz w:val="20"/>
          <w:szCs w:val="20"/>
          <w:lang w:eastAsia="en-GB"/>
        </w:rPr>
        <w:t xml:space="preserve">. It will be important that the transmission charges appropriately reflect the value that these flexibility resources provide to the electricity system, both as demand and generation. </w:t>
      </w:r>
    </w:p>
    <w:p w14:paraId="1B2C692A" w14:textId="77777777" w:rsidR="00A433A2" w:rsidRDefault="00A82BF9" w:rsidP="00F03994">
      <w:pPr>
        <w:pStyle w:val="NormalWeb"/>
        <w:spacing w:before="0" w:beforeAutospacing="0" w:after="0" w:afterAutospacing="0" w:line="276" w:lineRule="auto"/>
        <w:jc w:val="both"/>
        <w:rPr>
          <w:rFonts w:ascii="Arial" w:hAnsi="Arial" w:cs="Arial"/>
          <w:sz w:val="20"/>
          <w:szCs w:val="20"/>
        </w:rPr>
      </w:pPr>
      <w:r w:rsidRPr="00CB7756">
        <w:rPr>
          <w:rFonts w:ascii="Arial" w:hAnsi="Arial" w:cs="Arial"/>
          <w:sz w:val="20"/>
          <w:szCs w:val="20"/>
        </w:rPr>
        <w:t>A critical function of LLES is to provide balancing and stability services to market and the network. LLES are not net MWh generators, but they are defined as generators and therefore the balancing and stability benefits (and cost savings from reduced network investment) are not reflected in the way their connection application to the grid is assessed. LLES is considered as just another generator and are connected on first come first served basis behind other generators</w:t>
      </w:r>
      <w:r w:rsidR="00F03994">
        <w:rPr>
          <w:rFonts w:ascii="Arial" w:hAnsi="Arial" w:cs="Arial"/>
          <w:sz w:val="20"/>
          <w:szCs w:val="20"/>
        </w:rPr>
        <w:t xml:space="preserve">. </w:t>
      </w:r>
      <w:r w:rsidR="00F03994" w:rsidRPr="004B5876">
        <w:rPr>
          <w:rFonts w:ascii="Arial" w:hAnsi="Arial" w:cs="Arial"/>
          <w:sz w:val="20"/>
          <w:szCs w:val="20"/>
        </w:rPr>
        <w:t xml:space="preserve">We believe that LLES can make a major contribution to a net zero electricity system, both enabling the rapid growth in variable wind and solar renewables and accelerating the displacement of fossil fuel generation. </w:t>
      </w:r>
    </w:p>
    <w:p w14:paraId="759804EB" w14:textId="2461DBDB" w:rsidR="0043270C" w:rsidRDefault="0043270C" w:rsidP="00473DF5">
      <w:pPr>
        <w:pStyle w:val="NormalWeb"/>
        <w:spacing w:before="0" w:beforeAutospacing="0" w:after="0" w:afterAutospacing="0" w:line="276" w:lineRule="auto"/>
        <w:jc w:val="both"/>
        <w:rPr>
          <w:rFonts w:ascii="Arial" w:hAnsi="Arial" w:cs="Arial"/>
          <w:sz w:val="20"/>
          <w:szCs w:val="20"/>
        </w:rPr>
      </w:pPr>
    </w:p>
    <w:p w14:paraId="593C18D4" w14:textId="412E6EA7" w:rsidR="00A433A2" w:rsidRDefault="00A433A2" w:rsidP="00473DF5">
      <w:pPr>
        <w:pStyle w:val="NormalWeb"/>
        <w:spacing w:before="0" w:beforeAutospacing="0" w:after="0" w:afterAutospacing="0" w:line="276" w:lineRule="auto"/>
        <w:jc w:val="both"/>
        <w:rPr>
          <w:rFonts w:ascii="Arial" w:hAnsi="Arial" w:cs="Arial"/>
          <w:sz w:val="20"/>
          <w:szCs w:val="20"/>
        </w:rPr>
      </w:pPr>
      <w:r w:rsidRPr="00A433A2">
        <w:rPr>
          <w:rFonts w:ascii="Arial" w:hAnsi="Arial" w:cs="Arial"/>
          <w:sz w:val="20"/>
          <w:szCs w:val="20"/>
        </w:rPr>
        <w:t xml:space="preserve">We consider that the flexibility and locational benefits of LLES should specifically be </w:t>
      </w:r>
      <w:proofErr w:type="gramStart"/>
      <w:r w:rsidRPr="00A433A2">
        <w:rPr>
          <w:rFonts w:ascii="Arial" w:hAnsi="Arial" w:cs="Arial"/>
          <w:sz w:val="20"/>
          <w:szCs w:val="20"/>
        </w:rPr>
        <w:t>taken into account</w:t>
      </w:r>
      <w:proofErr w:type="gramEnd"/>
      <w:r w:rsidRPr="00A433A2">
        <w:rPr>
          <w:rFonts w:ascii="Arial" w:hAnsi="Arial" w:cs="Arial"/>
          <w:sz w:val="20"/>
          <w:szCs w:val="20"/>
        </w:rPr>
        <w:t xml:space="preserve"> in the design of transmission charges, recognising and thereby incentivising the value that these assets provide.   </w:t>
      </w:r>
    </w:p>
    <w:p w14:paraId="721C65F1" w14:textId="77777777" w:rsidR="00A433A2" w:rsidRDefault="00A433A2" w:rsidP="00473DF5">
      <w:pPr>
        <w:pStyle w:val="NormalWeb"/>
        <w:spacing w:before="0" w:beforeAutospacing="0" w:after="0" w:afterAutospacing="0" w:line="276" w:lineRule="auto"/>
        <w:jc w:val="both"/>
        <w:rPr>
          <w:rFonts w:ascii="Arial" w:hAnsi="Arial" w:cs="Arial"/>
          <w:sz w:val="20"/>
          <w:szCs w:val="20"/>
        </w:rPr>
      </w:pPr>
    </w:p>
    <w:p w14:paraId="53FD6C26" w14:textId="1CF0B198" w:rsidR="00A82BF9" w:rsidRDefault="0043270C" w:rsidP="00473DF5">
      <w:pPr>
        <w:pStyle w:val="NormalWeb"/>
        <w:spacing w:before="0" w:beforeAutospacing="0" w:after="0" w:afterAutospacing="0" w:line="276" w:lineRule="auto"/>
        <w:jc w:val="both"/>
        <w:rPr>
          <w:rFonts w:ascii="Arial" w:hAnsi="Arial" w:cs="Arial"/>
          <w:sz w:val="20"/>
          <w:szCs w:val="20"/>
        </w:rPr>
      </w:pPr>
      <w:r>
        <w:rPr>
          <w:rFonts w:ascii="Arial" w:hAnsi="Arial" w:cs="Arial"/>
          <w:sz w:val="20"/>
          <w:szCs w:val="20"/>
        </w:rPr>
        <w:t xml:space="preserve">  </w:t>
      </w:r>
    </w:p>
    <w:p w14:paraId="57864A71" w14:textId="784CA1BA" w:rsidR="000935A1" w:rsidRDefault="00AF48C6" w:rsidP="00A82BF9">
      <w:pPr>
        <w:pStyle w:val="NormalWeb"/>
        <w:numPr>
          <w:ilvl w:val="0"/>
          <w:numId w:val="27"/>
        </w:numPr>
        <w:spacing w:before="0" w:beforeAutospacing="0" w:after="0" w:afterAutospacing="0" w:line="276" w:lineRule="auto"/>
        <w:jc w:val="both"/>
        <w:rPr>
          <w:rFonts w:ascii="Arial" w:hAnsi="Arial" w:cs="Arial"/>
          <w:b/>
          <w:bCs/>
          <w:sz w:val="22"/>
          <w:szCs w:val="22"/>
        </w:rPr>
      </w:pPr>
      <w:r w:rsidRPr="00AF48C6">
        <w:rPr>
          <w:rFonts w:ascii="Arial" w:hAnsi="Arial" w:cs="Arial"/>
          <w:b/>
          <w:bCs/>
          <w:sz w:val="22"/>
          <w:szCs w:val="22"/>
        </w:rPr>
        <w:t>Vehicles for change</w:t>
      </w:r>
    </w:p>
    <w:p w14:paraId="2EE55595" w14:textId="2F10F618" w:rsidR="00E54B55" w:rsidRPr="00E54B55" w:rsidRDefault="00E54B55" w:rsidP="00E54B55">
      <w:pPr>
        <w:pStyle w:val="NormalWeb"/>
        <w:spacing w:before="0" w:beforeAutospacing="0" w:after="0" w:afterAutospacing="0" w:line="276" w:lineRule="auto"/>
        <w:jc w:val="both"/>
        <w:rPr>
          <w:rFonts w:ascii="Arial" w:hAnsi="Arial" w:cs="Arial"/>
          <w:sz w:val="22"/>
          <w:szCs w:val="22"/>
        </w:rPr>
      </w:pPr>
    </w:p>
    <w:p w14:paraId="2FB1CBC0" w14:textId="7AD5EED5" w:rsidR="004B721E" w:rsidRDefault="004B721E" w:rsidP="00E54B55">
      <w:pPr>
        <w:pStyle w:val="NormalWeb"/>
        <w:spacing w:before="0" w:beforeAutospacing="0" w:after="0" w:afterAutospacing="0" w:line="276" w:lineRule="auto"/>
        <w:jc w:val="both"/>
        <w:rPr>
          <w:rFonts w:ascii="Arial" w:hAnsi="Arial" w:cs="Arial"/>
          <w:sz w:val="20"/>
          <w:szCs w:val="20"/>
        </w:rPr>
      </w:pPr>
      <w:r w:rsidRPr="001335B3">
        <w:rPr>
          <w:rFonts w:ascii="Arial" w:hAnsi="Arial" w:cs="Arial"/>
          <w:sz w:val="20"/>
          <w:szCs w:val="20"/>
        </w:rPr>
        <w:t>We have assessed a few options to deliver this reform and we believe that the best vehicle for change will be a ‘Task Force’ approach. An open governance process is a very informal process that woul</w:t>
      </w:r>
      <w:r w:rsidR="00D43F8A">
        <w:rPr>
          <w:rFonts w:ascii="Arial" w:hAnsi="Arial" w:cs="Arial"/>
          <w:sz w:val="20"/>
          <w:szCs w:val="20"/>
        </w:rPr>
        <w:t xml:space="preserve">d not </w:t>
      </w:r>
      <w:r w:rsidRPr="001335B3">
        <w:rPr>
          <w:rFonts w:ascii="Arial" w:hAnsi="Arial" w:cs="Arial"/>
          <w:sz w:val="20"/>
          <w:szCs w:val="20"/>
        </w:rPr>
        <w:t xml:space="preserve">be appropriate for the scale of this reform. An SCR is not flexible in its </w:t>
      </w:r>
      <w:r w:rsidR="00D43F8A" w:rsidRPr="001335B3">
        <w:rPr>
          <w:rFonts w:ascii="Arial" w:hAnsi="Arial" w:cs="Arial"/>
          <w:sz w:val="20"/>
          <w:szCs w:val="20"/>
        </w:rPr>
        <w:t>delivery,</w:t>
      </w:r>
      <w:r w:rsidRPr="001335B3">
        <w:rPr>
          <w:rFonts w:ascii="Arial" w:hAnsi="Arial" w:cs="Arial"/>
          <w:sz w:val="20"/>
          <w:szCs w:val="20"/>
        </w:rPr>
        <w:t xml:space="preserve"> and it could take a long period of time out of the timescales </w:t>
      </w:r>
      <w:r w:rsidR="00790879" w:rsidRPr="001335B3">
        <w:rPr>
          <w:rFonts w:ascii="Arial" w:hAnsi="Arial" w:cs="Arial"/>
          <w:sz w:val="20"/>
          <w:szCs w:val="20"/>
        </w:rPr>
        <w:t>required for this reform. On the other hand, a ‘Task Force’ approach</w:t>
      </w:r>
      <w:r w:rsidR="00A05EA8">
        <w:rPr>
          <w:rFonts w:ascii="Arial" w:hAnsi="Arial" w:cs="Arial"/>
          <w:sz w:val="20"/>
          <w:szCs w:val="20"/>
        </w:rPr>
        <w:t xml:space="preserve"> aims </w:t>
      </w:r>
      <w:r w:rsidR="001903F1">
        <w:rPr>
          <w:rFonts w:ascii="Arial" w:hAnsi="Arial" w:cs="Arial"/>
          <w:sz w:val="20"/>
          <w:szCs w:val="20"/>
        </w:rPr>
        <w:t>to help</w:t>
      </w:r>
      <w:r w:rsidR="00A05EA8">
        <w:rPr>
          <w:rFonts w:ascii="Arial" w:hAnsi="Arial" w:cs="Arial"/>
          <w:sz w:val="20"/>
          <w:szCs w:val="20"/>
        </w:rPr>
        <w:t xml:space="preserve"> to</w:t>
      </w:r>
      <w:r w:rsidR="00A05EA8" w:rsidRPr="00A05EA8">
        <w:rPr>
          <w:rFonts w:ascii="Arial" w:hAnsi="Arial" w:cs="Arial"/>
          <w:sz w:val="20"/>
          <w:szCs w:val="20"/>
        </w:rPr>
        <w:t xml:space="preserve"> identify options for a broad charging topic and support Ofgem in assessing these options. </w:t>
      </w:r>
      <w:r w:rsidR="00A05EA8">
        <w:rPr>
          <w:rFonts w:ascii="Arial" w:hAnsi="Arial" w:cs="Arial"/>
          <w:sz w:val="20"/>
          <w:szCs w:val="20"/>
        </w:rPr>
        <w:t>We understand that e</w:t>
      </w:r>
      <w:r w:rsidR="00A05EA8" w:rsidRPr="00A05EA8">
        <w:rPr>
          <w:rFonts w:ascii="Arial" w:hAnsi="Arial" w:cs="Arial"/>
          <w:sz w:val="20"/>
          <w:szCs w:val="20"/>
        </w:rPr>
        <w:t xml:space="preserve">ach Task Force is made up of volunteers who will actively contribute </w:t>
      </w:r>
      <w:proofErr w:type="gramStart"/>
      <w:r w:rsidR="00A05EA8" w:rsidRPr="00A05EA8">
        <w:rPr>
          <w:rFonts w:ascii="Arial" w:hAnsi="Arial" w:cs="Arial"/>
          <w:sz w:val="20"/>
          <w:szCs w:val="20"/>
        </w:rPr>
        <w:t>by:</w:t>
      </w:r>
      <w:proofErr w:type="gramEnd"/>
      <w:r w:rsidR="00A05EA8" w:rsidRPr="00A05EA8">
        <w:rPr>
          <w:rFonts w:ascii="Arial" w:hAnsi="Arial" w:cs="Arial"/>
          <w:sz w:val="20"/>
          <w:szCs w:val="20"/>
        </w:rPr>
        <w:t xml:space="preserve"> identifying options, producing impact assessments and engaging with wider industry participants.</w:t>
      </w:r>
      <w:r w:rsidR="00A05EA8">
        <w:rPr>
          <w:rFonts w:ascii="Arial" w:hAnsi="Arial" w:cs="Arial"/>
          <w:sz w:val="20"/>
          <w:szCs w:val="20"/>
        </w:rPr>
        <w:t xml:space="preserve"> Therefore, we see this vehicle for change as a plausible option to deliver this reform.</w:t>
      </w:r>
    </w:p>
    <w:p w14:paraId="6227FD65" w14:textId="3330E695" w:rsidR="00A05EA8" w:rsidRDefault="00A05EA8" w:rsidP="00E54B55">
      <w:pPr>
        <w:pStyle w:val="NormalWeb"/>
        <w:spacing w:before="0" w:beforeAutospacing="0" w:after="0" w:afterAutospacing="0" w:line="276" w:lineRule="auto"/>
        <w:jc w:val="both"/>
        <w:rPr>
          <w:rFonts w:ascii="Arial" w:hAnsi="Arial" w:cs="Arial"/>
          <w:sz w:val="20"/>
          <w:szCs w:val="20"/>
        </w:rPr>
      </w:pPr>
    </w:p>
    <w:p w14:paraId="582C3F57" w14:textId="77777777" w:rsidR="0054676B" w:rsidRDefault="0054676B" w:rsidP="0054676B">
      <w:pPr>
        <w:pStyle w:val="NormalWeb"/>
        <w:spacing w:before="0" w:beforeAutospacing="0" w:after="0" w:afterAutospacing="0" w:line="276" w:lineRule="auto"/>
        <w:jc w:val="both"/>
        <w:rPr>
          <w:rFonts w:ascii="Arial" w:hAnsi="Arial" w:cs="Arial"/>
          <w:sz w:val="20"/>
          <w:szCs w:val="20"/>
        </w:rPr>
      </w:pPr>
      <w:r>
        <w:rPr>
          <w:rFonts w:ascii="Arial" w:hAnsi="Arial" w:cs="Arial"/>
          <w:sz w:val="20"/>
          <w:szCs w:val="20"/>
        </w:rPr>
        <w:lastRenderedPageBreak/>
        <w:t xml:space="preserve">We would like to note that we believe that this reform needs strong leadership from a suitable independent body. A body with efficient expertise of network charging and commercial awareness to meet government </w:t>
      </w:r>
      <w:r w:rsidRPr="004B5876">
        <w:rPr>
          <w:rFonts w:ascii="Arial" w:hAnsi="Arial" w:cs="Arial"/>
          <w:sz w:val="20"/>
          <w:szCs w:val="20"/>
        </w:rPr>
        <w:t>ambitions. In this context, we suggest that this reform must be led by Ofgem and BEIS, mirroring the way that the OTNR is being carried out.</w:t>
      </w:r>
    </w:p>
    <w:p w14:paraId="7E2BAC82" w14:textId="77777777" w:rsidR="004B721E" w:rsidRDefault="004B721E" w:rsidP="00E54B55">
      <w:pPr>
        <w:pStyle w:val="NormalWeb"/>
        <w:spacing w:before="0" w:beforeAutospacing="0" w:after="0" w:afterAutospacing="0" w:line="276" w:lineRule="auto"/>
        <w:jc w:val="both"/>
        <w:rPr>
          <w:rFonts w:ascii="Arial" w:hAnsi="Arial" w:cs="Arial"/>
          <w:sz w:val="22"/>
          <w:szCs w:val="22"/>
        </w:rPr>
      </w:pPr>
    </w:p>
    <w:p w14:paraId="7726D771" w14:textId="2C72BFDE" w:rsidR="000935A1" w:rsidRDefault="00D94987" w:rsidP="00A82BF9">
      <w:pPr>
        <w:pStyle w:val="NormalWeb"/>
        <w:numPr>
          <w:ilvl w:val="0"/>
          <w:numId w:val="27"/>
        </w:numPr>
        <w:spacing w:before="0" w:beforeAutospacing="0" w:after="0" w:afterAutospacing="0" w:line="276" w:lineRule="auto"/>
        <w:jc w:val="both"/>
        <w:rPr>
          <w:rFonts w:ascii="Arial" w:hAnsi="Arial" w:cs="Arial"/>
          <w:b/>
          <w:bCs/>
          <w:sz w:val="22"/>
          <w:szCs w:val="22"/>
        </w:rPr>
      </w:pPr>
      <w:r w:rsidRPr="00D94987">
        <w:rPr>
          <w:rFonts w:ascii="Arial" w:hAnsi="Arial" w:cs="Arial"/>
          <w:b/>
          <w:bCs/>
          <w:sz w:val="22"/>
          <w:szCs w:val="22"/>
        </w:rPr>
        <w:t>The timescales to which industry considers any reform programme should work.</w:t>
      </w:r>
    </w:p>
    <w:p w14:paraId="77E0C036" w14:textId="77777777" w:rsidR="00785A36" w:rsidRDefault="00785A36" w:rsidP="00D94987">
      <w:pPr>
        <w:pStyle w:val="NormalWeb"/>
        <w:spacing w:before="0" w:beforeAutospacing="0" w:after="0" w:afterAutospacing="0" w:line="276" w:lineRule="auto"/>
        <w:jc w:val="both"/>
        <w:rPr>
          <w:rFonts w:ascii="Arial" w:hAnsi="Arial" w:cs="Arial"/>
          <w:b/>
          <w:bCs/>
          <w:sz w:val="22"/>
          <w:szCs w:val="22"/>
        </w:rPr>
      </w:pPr>
    </w:p>
    <w:p w14:paraId="1D711B45" w14:textId="120C807F" w:rsidR="00500D4D" w:rsidRPr="00500D4D" w:rsidRDefault="00500D4D" w:rsidP="00500D4D">
      <w:pPr>
        <w:jc w:val="both"/>
        <w:rPr>
          <w:rFonts w:ascii="Arial" w:eastAsia="Times New Roman" w:hAnsi="Arial" w:cs="Arial"/>
          <w:sz w:val="20"/>
          <w:szCs w:val="20"/>
          <w:lang w:eastAsia="en-GB"/>
        </w:rPr>
      </w:pPr>
      <w:r w:rsidRPr="00500D4D">
        <w:rPr>
          <w:rFonts w:ascii="Arial" w:eastAsia="Times New Roman" w:hAnsi="Arial" w:cs="Arial"/>
          <w:sz w:val="20"/>
          <w:szCs w:val="20"/>
          <w:lang w:eastAsia="en-GB"/>
        </w:rPr>
        <w:t xml:space="preserve">A suitable timeline for reform should be between 2 and 3 years in line with the OTNR. </w:t>
      </w:r>
      <w:r w:rsidRPr="004B5876">
        <w:rPr>
          <w:rFonts w:ascii="Arial" w:eastAsia="Times New Roman" w:hAnsi="Arial" w:cs="Arial"/>
          <w:sz w:val="20"/>
          <w:szCs w:val="20"/>
          <w:lang w:eastAsia="en-GB"/>
        </w:rPr>
        <w:t>T</w:t>
      </w:r>
      <w:r w:rsidRPr="004B5876">
        <w:rPr>
          <w:rFonts w:ascii="Arial" w:hAnsi="Arial" w:cs="Arial"/>
          <w:sz w:val="20"/>
          <w:szCs w:val="20"/>
        </w:rPr>
        <w:t xml:space="preserve">here is an immediate need to address the fundamental problem of </w:t>
      </w:r>
      <w:proofErr w:type="spellStart"/>
      <w:r w:rsidRPr="004B5876">
        <w:rPr>
          <w:rFonts w:ascii="Arial" w:hAnsi="Arial" w:cs="Arial"/>
          <w:sz w:val="20"/>
          <w:szCs w:val="20"/>
        </w:rPr>
        <w:t>TNUoS</w:t>
      </w:r>
      <w:proofErr w:type="spellEnd"/>
      <w:r w:rsidRPr="004B5876">
        <w:rPr>
          <w:rFonts w:ascii="Arial" w:hAnsi="Arial" w:cs="Arial"/>
          <w:sz w:val="20"/>
          <w:szCs w:val="20"/>
        </w:rPr>
        <w:t xml:space="preserve"> charg</w:t>
      </w:r>
      <w:r w:rsidR="004B5876" w:rsidRPr="004B5876">
        <w:rPr>
          <w:rFonts w:ascii="Arial" w:hAnsi="Arial" w:cs="Arial"/>
          <w:sz w:val="20"/>
          <w:szCs w:val="20"/>
        </w:rPr>
        <w:t>ing</w:t>
      </w:r>
      <w:r w:rsidRPr="004B5876">
        <w:rPr>
          <w:rFonts w:ascii="Arial" w:hAnsi="Arial" w:cs="Arial"/>
          <w:sz w:val="20"/>
          <w:szCs w:val="20"/>
        </w:rPr>
        <w:t xml:space="preserve"> methodology, which is no longer fit for purpose and needs urgent reform to help achieve the required growth of renewable generation to meet challenging targets to decarbonise generation. This urgent requirement suggests that a different approach to the usual CUSC modification approach is required and a Task Force with suitable expertise, independence </w:t>
      </w:r>
      <w:r w:rsidR="004B5876" w:rsidRPr="004B5876">
        <w:rPr>
          <w:rFonts w:ascii="Arial" w:hAnsi="Arial" w:cs="Arial"/>
          <w:sz w:val="20"/>
          <w:szCs w:val="20"/>
        </w:rPr>
        <w:t>and</w:t>
      </w:r>
      <w:r w:rsidRPr="004B5876">
        <w:rPr>
          <w:rFonts w:ascii="Arial" w:hAnsi="Arial" w:cs="Arial"/>
          <w:sz w:val="20"/>
          <w:szCs w:val="20"/>
        </w:rPr>
        <w:t xml:space="preserve"> strong leadership </w:t>
      </w:r>
      <w:r w:rsidR="000C07E2" w:rsidRPr="004B5876">
        <w:rPr>
          <w:rFonts w:ascii="Arial" w:hAnsi="Arial" w:cs="Arial"/>
          <w:sz w:val="20"/>
          <w:szCs w:val="20"/>
        </w:rPr>
        <w:t>need</w:t>
      </w:r>
      <w:r w:rsidR="004B5876" w:rsidRPr="004B5876">
        <w:rPr>
          <w:rFonts w:ascii="Arial" w:hAnsi="Arial" w:cs="Arial"/>
          <w:sz w:val="20"/>
          <w:szCs w:val="20"/>
        </w:rPr>
        <w:t>s</w:t>
      </w:r>
      <w:r w:rsidR="000C07E2" w:rsidRPr="004B5876">
        <w:rPr>
          <w:rFonts w:ascii="Arial" w:hAnsi="Arial" w:cs="Arial"/>
          <w:sz w:val="20"/>
          <w:szCs w:val="20"/>
        </w:rPr>
        <w:t xml:space="preserve"> to be </w:t>
      </w:r>
      <w:r w:rsidR="004B5876" w:rsidRPr="004B5876">
        <w:rPr>
          <w:rFonts w:ascii="Arial" w:hAnsi="Arial" w:cs="Arial"/>
          <w:sz w:val="20"/>
          <w:szCs w:val="20"/>
        </w:rPr>
        <w:t>implemented</w:t>
      </w:r>
      <w:r w:rsidR="000C07E2" w:rsidRPr="004B5876">
        <w:rPr>
          <w:rFonts w:ascii="Arial" w:hAnsi="Arial" w:cs="Arial"/>
          <w:sz w:val="20"/>
          <w:szCs w:val="20"/>
        </w:rPr>
        <w:t xml:space="preserve"> in</w:t>
      </w:r>
      <w:r w:rsidRPr="004B5876">
        <w:rPr>
          <w:rFonts w:ascii="Arial" w:hAnsi="Arial" w:cs="Arial"/>
          <w:sz w:val="20"/>
          <w:szCs w:val="20"/>
        </w:rPr>
        <w:t xml:space="preserve"> a shorter timescale than normal</w:t>
      </w:r>
      <w:r w:rsidR="000C07E2" w:rsidRPr="004B5876">
        <w:rPr>
          <w:rFonts w:ascii="Arial" w:hAnsi="Arial" w:cs="Arial"/>
          <w:sz w:val="20"/>
          <w:szCs w:val="20"/>
        </w:rPr>
        <w:t>.</w:t>
      </w:r>
    </w:p>
    <w:p w14:paraId="4E176E59" w14:textId="56F7EDA6" w:rsidR="00713921" w:rsidRDefault="00713921" w:rsidP="00D94987">
      <w:pPr>
        <w:pStyle w:val="NormalWeb"/>
        <w:spacing w:before="0" w:beforeAutospacing="0" w:after="0" w:afterAutospacing="0" w:line="276" w:lineRule="auto"/>
        <w:jc w:val="both"/>
        <w:rPr>
          <w:rFonts w:ascii="Arial" w:hAnsi="Arial" w:cs="Arial"/>
          <w:sz w:val="20"/>
          <w:szCs w:val="20"/>
        </w:rPr>
      </w:pPr>
      <w:r>
        <w:rPr>
          <w:rFonts w:ascii="Arial" w:hAnsi="Arial" w:cs="Arial"/>
          <w:sz w:val="20"/>
          <w:szCs w:val="20"/>
        </w:rPr>
        <w:t xml:space="preserve">In the call for evidence document Ofgem states that there are some ‘quick wins’ that might make a significant difference to the value of </w:t>
      </w:r>
      <w:proofErr w:type="spellStart"/>
      <w:r>
        <w:rPr>
          <w:rFonts w:ascii="Arial" w:hAnsi="Arial" w:cs="Arial"/>
          <w:sz w:val="20"/>
          <w:szCs w:val="20"/>
        </w:rPr>
        <w:t>TNUoS</w:t>
      </w:r>
      <w:proofErr w:type="spellEnd"/>
      <w:r>
        <w:rPr>
          <w:rFonts w:ascii="Arial" w:hAnsi="Arial" w:cs="Arial"/>
          <w:sz w:val="20"/>
          <w:szCs w:val="20"/>
        </w:rPr>
        <w:t xml:space="preserve"> charges through an improvement of cost-reflectivity. We would like to note that</w:t>
      </w:r>
      <w:r w:rsidR="00801D64">
        <w:rPr>
          <w:rFonts w:ascii="Arial" w:hAnsi="Arial" w:cs="Arial"/>
          <w:sz w:val="20"/>
          <w:szCs w:val="20"/>
        </w:rPr>
        <w:t xml:space="preserve"> there are quick wins </w:t>
      </w:r>
      <w:proofErr w:type="gramStart"/>
      <w:r w:rsidR="00801D64">
        <w:rPr>
          <w:rFonts w:ascii="Arial" w:hAnsi="Arial" w:cs="Arial"/>
          <w:sz w:val="20"/>
          <w:szCs w:val="20"/>
        </w:rPr>
        <w:t>as a result of</w:t>
      </w:r>
      <w:proofErr w:type="gramEnd"/>
      <w:r w:rsidR="00801D64">
        <w:rPr>
          <w:rFonts w:ascii="Arial" w:hAnsi="Arial" w:cs="Arial"/>
          <w:sz w:val="20"/>
          <w:szCs w:val="20"/>
        </w:rPr>
        <w:t xml:space="preserve"> a most cost-reflective, predictable &amp; stable regime and this is absolutely necessary to align this reform with net zero. Investment in areas of high renewable resource need to be unlocked to achieve our government targets and so regulation should move forward </w:t>
      </w:r>
      <w:r w:rsidR="0016401E">
        <w:rPr>
          <w:rFonts w:ascii="Arial" w:hAnsi="Arial" w:cs="Arial"/>
          <w:sz w:val="20"/>
          <w:szCs w:val="20"/>
        </w:rPr>
        <w:t>at a pace to facilitate this.</w:t>
      </w:r>
      <w:r w:rsidR="00801D64">
        <w:rPr>
          <w:rFonts w:ascii="Arial" w:hAnsi="Arial" w:cs="Arial"/>
          <w:sz w:val="20"/>
          <w:szCs w:val="20"/>
        </w:rPr>
        <w:t xml:space="preserve"> </w:t>
      </w:r>
    </w:p>
    <w:p w14:paraId="62E0BC53" w14:textId="77777777" w:rsidR="00785A36" w:rsidRDefault="00785A36" w:rsidP="00D94987">
      <w:pPr>
        <w:pStyle w:val="NormalWeb"/>
        <w:spacing w:before="0" w:beforeAutospacing="0" w:after="0" w:afterAutospacing="0" w:line="276" w:lineRule="auto"/>
        <w:jc w:val="both"/>
        <w:rPr>
          <w:rFonts w:ascii="Arial" w:hAnsi="Arial" w:cs="Arial"/>
          <w:sz w:val="20"/>
          <w:szCs w:val="20"/>
        </w:rPr>
      </w:pPr>
    </w:p>
    <w:p w14:paraId="73FC8E47" w14:textId="77777777" w:rsidR="00966A08" w:rsidRPr="00D94987" w:rsidRDefault="00966A08" w:rsidP="00D94987">
      <w:pPr>
        <w:pStyle w:val="NormalWeb"/>
        <w:spacing w:before="0" w:beforeAutospacing="0" w:after="0" w:afterAutospacing="0" w:line="276" w:lineRule="auto"/>
        <w:jc w:val="both"/>
        <w:rPr>
          <w:rFonts w:ascii="Arial" w:hAnsi="Arial" w:cs="Arial"/>
          <w:b/>
          <w:bCs/>
          <w:sz w:val="22"/>
          <w:szCs w:val="22"/>
        </w:rPr>
      </w:pPr>
    </w:p>
    <w:p w14:paraId="06821ADC" w14:textId="77777777" w:rsidR="00546EAF" w:rsidRPr="005F35B3" w:rsidRDefault="00546EAF" w:rsidP="00546EAF">
      <w:pPr>
        <w:pStyle w:val="NormalWeb"/>
        <w:spacing w:after="240" w:afterAutospacing="0"/>
        <w:rPr>
          <w:rStyle w:val="Hyperlink"/>
        </w:rPr>
      </w:pPr>
    </w:p>
    <w:sectPr w:rsidR="00546EAF" w:rsidRPr="005F35B3" w:rsidSect="000804F6">
      <w:headerReference w:type="even" r:id="rId18"/>
      <w:headerReference w:type="default" r:id="rId19"/>
      <w:footerReference w:type="even" r:id="rId20"/>
      <w:footerReference w:type="default" r:id="rId21"/>
      <w:headerReference w:type="first" r:id="rId22"/>
      <w:footerReference w:type="first" r:id="rId23"/>
      <w:pgSz w:w="11906" w:h="16838"/>
      <w:pgMar w:top="1474" w:right="144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270A" w14:textId="77777777" w:rsidR="00A0128E" w:rsidRDefault="00A0128E" w:rsidP="00A64FB9">
      <w:pPr>
        <w:spacing w:after="0" w:line="240" w:lineRule="auto"/>
      </w:pPr>
      <w:r>
        <w:separator/>
      </w:r>
    </w:p>
  </w:endnote>
  <w:endnote w:type="continuationSeparator" w:id="0">
    <w:p w14:paraId="703BF61C" w14:textId="77777777" w:rsidR="00A0128E" w:rsidRDefault="00A0128E"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55C3" w14:textId="77777777" w:rsidR="004F5FEA" w:rsidRDefault="004F5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A94C" w14:textId="77777777" w:rsidR="004F5FEA" w:rsidRDefault="004F5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0593" w14:textId="77777777" w:rsidR="00A0128E" w:rsidRDefault="00A0128E">
    <w:pPr>
      <w:pStyle w:val="Footer"/>
    </w:pPr>
    <w:r>
      <w:rPr>
        <w:rFonts w:ascii="Arial" w:hAnsi="Arial" w:cs="Arial"/>
        <w:noProof/>
        <w:sz w:val="20"/>
        <w:szCs w:val="20"/>
        <w:lang w:eastAsia="en-GB"/>
      </w:rPr>
      <w:drawing>
        <wp:anchor distT="0" distB="0" distL="114300" distR="114300" simplePos="0" relativeHeight="251658240" behindDoc="0" locked="0" layoutInCell="1" allowOverlap="1" wp14:anchorId="13228886" wp14:editId="42730C31">
          <wp:simplePos x="0" y="0"/>
          <wp:positionH relativeFrom="column">
            <wp:posOffset>4500880</wp:posOffset>
          </wp:positionH>
          <wp:positionV relativeFrom="paragraph">
            <wp:posOffset>-582930</wp:posOffset>
          </wp:positionV>
          <wp:extent cx="1852295" cy="1021080"/>
          <wp:effectExtent l="0" t="0" r="0" b="76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anchor distT="0" distB="0" distL="114300" distR="114300" simplePos="0" relativeHeight="251656192" behindDoc="1" locked="0" layoutInCell="0" allowOverlap="0" wp14:anchorId="53B117DA" wp14:editId="046C1BCC">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E8BA" w14:textId="77777777" w:rsidR="00A0128E" w:rsidRDefault="00A0128E" w:rsidP="00A64FB9">
      <w:pPr>
        <w:spacing w:after="0" w:line="240" w:lineRule="auto"/>
      </w:pPr>
      <w:r>
        <w:separator/>
      </w:r>
    </w:p>
  </w:footnote>
  <w:footnote w:type="continuationSeparator" w:id="0">
    <w:p w14:paraId="1D7058B7" w14:textId="77777777" w:rsidR="00A0128E" w:rsidRDefault="00A0128E" w:rsidP="00A64FB9">
      <w:pPr>
        <w:spacing w:after="0" w:line="240" w:lineRule="auto"/>
      </w:pPr>
      <w:r>
        <w:continuationSeparator/>
      </w:r>
    </w:p>
  </w:footnote>
  <w:footnote w:id="1">
    <w:p w14:paraId="740058D0" w14:textId="009F1A50" w:rsidR="00D4450B" w:rsidRPr="0042563A" w:rsidRDefault="00D4450B">
      <w:pPr>
        <w:pStyle w:val="FootnoteText"/>
        <w:rPr>
          <w:lang w:val="en-US"/>
        </w:rPr>
      </w:pPr>
      <w:r>
        <w:rPr>
          <w:rStyle w:val="FootnoteReference"/>
        </w:rPr>
        <w:footnoteRef/>
      </w:r>
      <w:r>
        <w:t xml:space="preserve"> </w:t>
      </w:r>
      <w:r w:rsidRPr="00D4450B">
        <w:rPr>
          <w:rFonts w:ascii="Arial" w:eastAsia="Times New Roman" w:hAnsi="Arial" w:cs="Arial"/>
          <w:sz w:val="16"/>
          <w:szCs w:val="16"/>
          <w:lang w:eastAsia="en-GB"/>
        </w:rPr>
        <w:t xml:space="preserve">Climate Change Committee, (2020). The sixth Carbon Budget. </w:t>
      </w:r>
      <w:r w:rsidRPr="0042563A">
        <w:rPr>
          <w:rFonts w:ascii="Arial" w:eastAsia="Times New Roman" w:hAnsi="Arial" w:cs="Arial"/>
          <w:sz w:val="16"/>
          <w:szCs w:val="16"/>
          <w:lang w:eastAsia="en-GB"/>
        </w:rPr>
        <w:t>Available</w:t>
      </w:r>
      <w:r w:rsidRPr="0042563A">
        <w:rPr>
          <w:rFonts w:ascii="Arial" w:hAnsi="Arial" w:cs="Arial"/>
          <w:sz w:val="16"/>
          <w:szCs w:val="16"/>
        </w:rPr>
        <w:t xml:space="preserve"> </w:t>
      </w:r>
      <w:hyperlink r:id="rId1" w:history="1">
        <w:r w:rsidRPr="0042563A">
          <w:rPr>
            <w:rStyle w:val="Hyperlink"/>
            <w:rFonts w:ascii="Arial" w:eastAsia="Times New Roman" w:hAnsi="Arial" w:cs="Arial"/>
            <w:sz w:val="16"/>
            <w:szCs w:val="16"/>
            <w:lang w:eastAsia="en-GB"/>
          </w:rPr>
          <w:t>https://www.theccc.org.uk/publication/sixth-carbon-budget/</w:t>
        </w:r>
      </w:hyperlink>
    </w:p>
  </w:footnote>
  <w:footnote w:id="2">
    <w:p w14:paraId="54A3A733" w14:textId="623CE03C" w:rsidR="00C01D2C" w:rsidRPr="00C01D2C" w:rsidRDefault="00C01D2C">
      <w:pPr>
        <w:pStyle w:val="FootnoteText"/>
        <w:rPr>
          <w:rFonts w:ascii="Arial" w:hAnsi="Arial" w:cs="Arial"/>
          <w:sz w:val="16"/>
          <w:szCs w:val="16"/>
          <w:lang w:val="en-US"/>
        </w:rPr>
      </w:pPr>
      <w:r>
        <w:rPr>
          <w:rStyle w:val="FootnoteReference"/>
        </w:rPr>
        <w:footnoteRef/>
      </w:r>
      <w:r w:rsidRPr="0042563A">
        <w:t xml:space="preserve"> </w:t>
      </w:r>
      <w:r w:rsidRPr="0042563A">
        <w:rPr>
          <w:rFonts w:ascii="Arial" w:hAnsi="Arial" w:cs="Arial"/>
          <w:sz w:val="16"/>
          <w:szCs w:val="16"/>
        </w:rPr>
        <w:t xml:space="preserve">National Grid ESO. Future Energy Scenarios (2021). </w:t>
      </w:r>
      <w:r w:rsidRPr="00C01D2C">
        <w:rPr>
          <w:rFonts w:ascii="Arial" w:hAnsi="Arial" w:cs="Arial"/>
          <w:sz w:val="16"/>
          <w:szCs w:val="16"/>
        </w:rPr>
        <w:t>Available: Future Energy Scenarios 2021 | National Grid ESO</w:t>
      </w:r>
    </w:p>
  </w:footnote>
  <w:footnote w:id="3">
    <w:p w14:paraId="71668633" w14:textId="77777777" w:rsidR="006A23E4" w:rsidRPr="00A47A24" w:rsidRDefault="006A23E4" w:rsidP="006A23E4">
      <w:pPr>
        <w:pStyle w:val="FootnoteText"/>
        <w:rPr>
          <w:rFonts w:ascii="Arial" w:hAnsi="Arial" w:cs="Arial"/>
          <w:sz w:val="16"/>
          <w:szCs w:val="16"/>
          <w:lang w:val="en-US"/>
        </w:rPr>
      </w:pPr>
      <w:r>
        <w:rPr>
          <w:rStyle w:val="FootnoteReference"/>
        </w:rPr>
        <w:footnoteRef/>
      </w:r>
      <w:r>
        <w:t xml:space="preserve"> </w:t>
      </w:r>
      <w:hyperlink r:id="rId2" w:history="1">
        <w:r w:rsidRPr="00A47A24">
          <w:rPr>
            <w:rStyle w:val="Hyperlink"/>
            <w:rFonts w:ascii="Arial" w:hAnsi="Arial" w:cs="Arial"/>
            <w:sz w:val="16"/>
            <w:szCs w:val="16"/>
          </w:rPr>
          <w:t>Contracts for Difference (CFD) Allocation Round One Outcome - GOV.UK (www.gov.uk)</w:t>
        </w:r>
      </w:hyperlink>
    </w:p>
  </w:footnote>
  <w:footnote w:id="4">
    <w:p w14:paraId="0537477F" w14:textId="77777777" w:rsidR="006A23E4" w:rsidRPr="00A47A24" w:rsidRDefault="006A23E4" w:rsidP="006A23E4">
      <w:pPr>
        <w:pStyle w:val="FootnoteText"/>
        <w:rPr>
          <w:rFonts w:ascii="Arial" w:hAnsi="Arial" w:cs="Arial"/>
          <w:sz w:val="16"/>
          <w:szCs w:val="16"/>
          <w:lang w:val="en-US"/>
        </w:rPr>
      </w:pPr>
      <w:r w:rsidRPr="00A47A24">
        <w:rPr>
          <w:rStyle w:val="FootnoteReference"/>
          <w:rFonts w:ascii="Arial" w:hAnsi="Arial" w:cs="Arial"/>
          <w:sz w:val="16"/>
          <w:szCs w:val="16"/>
        </w:rPr>
        <w:footnoteRef/>
      </w:r>
      <w:r w:rsidRPr="00A47A24">
        <w:rPr>
          <w:rFonts w:ascii="Arial" w:hAnsi="Arial" w:cs="Arial"/>
          <w:sz w:val="16"/>
          <w:szCs w:val="16"/>
        </w:rPr>
        <w:t xml:space="preserve"> </w:t>
      </w:r>
      <w:hyperlink r:id="rId3" w:history="1">
        <w:r w:rsidRPr="00A47A24">
          <w:rPr>
            <w:rStyle w:val="Hyperlink"/>
            <w:rFonts w:ascii="Arial" w:hAnsi="Arial" w:cs="Arial"/>
            <w:sz w:val="16"/>
            <w:szCs w:val="16"/>
          </w:rPr>
          <w:t>Contracts for Difference (CFD) Second Allocation Round Results - GOV.UK (www.gov.uk)</w:t>
        </w:r>
      </w:hyperlink>
    </w:p>
  </w:footnote>
  <w:footnote w:id="5">
    <w:p w14:paraId="34BE7515" w14:textId="77777777" w:rsidR="006A23E4" w:rsidRPr="00A47A24" w:rsidRDefault="006A23E4" w:rsidP="006A23E4">
      <w:pPr>
        <w:pStyle w:val="FootnoteText"/>
        <w:rPr>
          <w:rFonts w:ascii="Arial" w:hAnsi="Arial" w:cs="Arial"/>
          <w:sz w:val="16"/>
          <w:szCs w:val="16"/>
          <w:lang w:val="en-US"/>
        </w:rPr>
      </w:pPr>
      <w:r w:rsidRPr="00A47A24">
        <w:rPr>
          <w:rStyle w:val="FootnoteReference"/>
          <w:rFonts w:ascii="Arial" w:hAnsi="Arial" w:cs="Arial"/>
          <w:sz w:val="16"/>
          <w:szCs w:val="16"/>
        </w:rPr>
        <w:footnoteRef/>
      </w:r>
      <w:r w:rsidRPr="00A47A24">
        <w:rPr>
          <w:rFonts w:ascii="Arial" w:hAnsi="Arial" w:cs="Arial"/>
          <w:sz w:val="16"/>
          <w:szCs w:val="16"/>
        </w:rPr>
        <w:t xml:space="preserve"> </w:t>
      </w:r>
      <w:hyperlink r:id="rId4" w:history="1">
        <w:r w:rsidRPr="00A47A24">
          <w:rPr>
            <w:rStyle w:val="Hyperlink"/>
            <w:rFonts w:ascii="Arial" w:hAnsi="Arial" w:cs="Arial"/>
            <w:sz w:val="16"/>
            <w:szCs w:val="16"/>
          </w:rPr>
          <w:t>Contracts for Difference (CfD) Allocation Round 3: results - GOV.UK (www.gov.uk)</w:t>
        </w:r>
      </w:hyperlink>
    </w:p>
  </w:footnote>
  <w:footnote w:id="6">
    <w:p w14:paraId="75FDBA5B" w14:textId="31070FB9" w:rsidR="00261177" w:rsidRPr="0042563A" w:rsidRDefault="00261177">
      <w:pPr>
        <w:pStyle w:val="FootnoteText"/>
        <w:rPr>
          <w:lang w:val="en-US"/>
        </w:rPr>
      </w:pPr>
      <w:r>
        <w:rPr>
          <w:rStyle w:val="FootnoteReference"/>
        </w:rPr>
        <w:footnoteRef/>
      </w:r>
      <w:r w:rsidRPr="0042563A">
        <w:t xml:space="preserve"> </w:t>
      </w:r>
      <w:r w:rsidRPr="0042563A">
        <w:rPr>
          <w:rFonts w:ascii="Arial" w:eastAsia="Times New Roman" w:hAnsi="Arial" w:cs="Arial"/>
          <w:sz w:val="16"/>
          <w:szCs w:val="16"/>
          <w:lang w:eastAsia="en-GB"/>
        </w:rPr>
        <w:t xml:space="preserve">National Grid ESO (2021). 2021 tariffs. Available </w:t>
      </w:r>
      <w:hyperlink r:id="rId5" w:history="1">
        <w:r w:rsidRPr="0042563A">
          <w:rPr>
            <w:rStyle w:val="Hyperlink"/>
            <w:rFonts w:ascii="Arial" w:hAnsi="Arial" w:cs="Arial"/>
            <w:sz w:val="16"/>
            <w:szCs w:val="16"/>
          </w:rPr>
          <w:t>https://www.nationalgrideso.com/charging/transmission-network-use-system-tnuos-charges</w:t>
        </w:r>
      </w:hyperlink>
    </w:p>
  </w:footnote>
  <w:footnote w:id="7">
    <w:p w14:paraId="5384E550" w14:textId="093D85A0" w:rsidR="004C35BF" w:rsidRPr="0042563A" w:rsidRDefault="004C35BF" w:rsidP="004C35BF">
      <w:pPr>
        <w:pStyle w:val="FootnoteText"/>
        <w:rPr>
          <w:rFonts w:ascii="Arial" w:hAnsi="Arial" w:cs="Arial"/>
          <w:sz w:val="16"/>
          <w:szCs w:val="16"/>
          <w:lang w:val="en-US"/>
        </w:rPr>
      </w:pPr>
      <w:r>
        <w:rPr>
          <w:rStyle w:val="FootnoteReference"/>
        </w:rPr>
        <w:footnoteRef/>
      </w:r>
      <w:r>
        <w:t xml:space="preserve"> </w:t>
      </w:r>
      <w:r w:rsidRPr="004C35BF">
        <w:rPr>
          <w:rFonts w:ascii="Arial" w:hAnsi="Arial" w:cs="Arial"/>
          <w:sz w:val="16"/>
          <w:szCs w:val="16"/>
        </w:rPr>
        <w:t xml:space="preserve">RIDG (May 2021), Charging the wrong way. </w:t>
      </w:r>
      <w:r w:rsidRPr="0042563A">
        <w:rPr>
          <w:rFonts w:ascii="Arial" w:hAnsi="Arial" w:cs="Arial"/>
          <w:sz w:val="16"/>
          <w:szCs w:val="16"/>
        </w:rPr>
        <w:t xml:space="preserve">Available: </w:t>
      </w:r>
      <w:hyperlink r:id="rId6" w:history="1">
        <w:r w:rsidRPr="0042563A">
          <w:rPr>
            <w:rStyle w:val="Hyperlink"/>
            <w:rFonts w:ascii="Arial" w:hAnsi="Arial" w:cs="Arial"/>
            <w:sz w:val="16"/>
            <w:szCs w:val="16"/>
          </w:rPr>
          <w:t>https://cdn.ymaws.com/www.renewableuk.com/resource/resmgr/210524_tnuos_paper_final_for.pdf</w:t>
        </w:r>
      </w:hyperlink>
      <w:r w:rsidRPr="0042563A">
        <w:rPr>
          <w:rFonts w:ascii="Arial" w:hAnsi="Arial" w:cs="Arial"/>
          <w:sz w:val="16"/>
          <w:szCs w:val="16"/>
        </w:rPr>
        <w:t xml:space="preserve"> </w:t>
      </w:r>
    </w:p>
  </w:footnote>
  <w:footnote w:id="8">
    <w:p w14:paraId="0C15B913" w14:textId="1DB34611" w:rsidR="00C21AF4" w:rsidRPr="00901851" w:rsidRDefault="00C21AF4" w:rsidP="00C21AF4">
      <w:pPr>
        <w:pStyle w:val="FootnoteText"/>
        <w:rPr>
          <w:rFonts w:ascii="Arial" w:hAnsi="Arial" w:cs="Arial"/>
          <w:sz w:val="16"/>
          <w:szCs w:val="16"/>
          <w:lang w:val="en-US"/>
        </w:rPr>
      </w:pPr>
      <w:r>
        <w:rPr>
          <w:rStyle w:val="FootnoteReference"/>
        </w:rPr>
        <w:footnoteRef/>
      </w:r>
      <w:r>
        <w:t xml:space="preserve"> </w:t>
      </w:r>
      <w:r w:rsidRPr="009379AD">
        <w:rPr>
          <w:rFonts w:ascii="Arial" w:hAnsi="Arial" w:cs="Arial"/>
          <w:sz w:val="16"/>
          <w:szCs w:val="16"/>
          <w:lang w:val="en-US"/>
        </w:rPr>
        <w:t xml:space="preserve">NERA Consulting (2021). Quantifying the Risk of </w:t>
      </w:r>
      <w:proofErr w:type="spellStart"/>
      <w:r w:rsidRPr="009379AD">
        <w:rPr>
          <w:rFonts w:ascii="Arial" w:hAnsi="Arial" w:cs="Arial"/>
          <w:sz w:val="16"/>
          <w:szCs w:val="16"/>
          <w:lang w:val="en-US"/>
        </w:rPr>
        <w:t>TNUoS</w:t>
      </w:r>
      <w:proofErr w:type="spellEnd"/>
      <w:r w:rsidRPr="009379AD">
        <w:rPr>
          <w:rFonts w:ascii="Arial" w:hAnsi="Arial" w:cs="Arial"/>
          <w:sz w:val="16"/>
          <w:szCs w:val="16"/>
          <w:lang w:val="en-US"/>
        </w:rPr>
        <w:t xml:space="preserve"> Charge</w:t>
      </w:r>
      <w:r>
        <w:rPr>
          <w:rFonts w:ascii="Arial" w:hAnsi="Arial" w:cs="Arial"/>
          <w:sz w:val="16"/>
          <w:szCs w:val="16"/>
          <w:lang w:val="en-US"/>
        </w:rPr>
        <w:t xml:space="preserve"> </w:t>
      </w:r>
      <w:r w:rsidRPr="009379AD">
        <w:rPr>
          <w:rFonts w:ascii="Arial" w:hAnsi="Arial" w:cs="Arial"/>
          <w:sz w:val="16"/>
          <w:szCs w:val="16"/>
          <w:lang w:val="en-US"/>
        </w:rPr>
        <w:t>Volatility for Wind Developers</w:t>
      </w:r>
    </w:p>
  </w:footnote>
  <w:footnote w:id="9">
    <w:p w14:paraId="258810C7" w14:textId="5A1CEC46" w:rsidR="009379AD" w:rsidRPr="009379AD" w:rsidRDefault="009379AD" w:rsidP="009379AD">
      <w:pPr>
        <w:pStyle w:val="FootnoteText"/>
        <w:rPr>
          <w:rFonts w:ascii="Arial" w:hAnsi="Arial" w:cs="Arial"/>
          <w:sz w:val="16"/>
          <w:szCs w:val="16"/>
          <w:lang w:val="en-US"/>
        </w:rPr>
      </w:pPr>
      <w:r>
        <w:rPr>
          <w:rStyle w:val="FootnoteReference"/>
        </w:rPr>
        <w:footnoteRef/>
      </w:r>
      <w:r>
        <w:t xml:space="preserve"> </w:t>
      </w:r>
      <w:r w:rsidRPr="009379AD">
        <w:rPr>
          <w:rFonts w:ascii="Arial" w:hAnsi="Arial" w:cs="Arial"/>
          <w:sz w:val="16"/>
          <w:szCs w:val="16"/>
          <w:lang w:val="en-US"/>
        </w:rPr>
        <w:t xml:space="preserve">NERA Consulting (2021). Quantifying the Risk of </w:t>
      </w:r>
      <w:proofErr w:type="spellStart"/>
      <w:r w:rsidRPr="009379AD">
        <w:rPr>
          <w:rFonts w:ascii="Arial" w:hAnsi="Arial" w:cs="Arial"/>
          <w:sz w:val="16"/>
          <w:szCs w:val="16"/>
          <w:lang w:val="en-US"/>
        </w:rPr>
        <w:t>TNUoS</w:t>
      </w:r>
      <w:proofErr w:type="spellEnd"/>
      <w:r w:rsidRPr="009379AD">
        <w:rPr>
          <w:rFonts w:ascii="Arial" w:hAnsi="Arial" w:cs="Arial"/>
          <w:sz w:val="16"/>
          <w:szCs w:val="16"/>
          <w:lang w:val="en-US"/>
        </w:rPr>
        <w:t xml:space="preserve"> Charge</w:t>
      </w:r>
      <w:r>
        <w:rPr>
          <w:rFonts w:ascii="Arial" w:hAnsi="Arial" w:cs="Arial"/>
          <w:sz w:val="16"/>
          <w:szCs w:val="16"/>
          <w:lang w:val="en-US"/>
        </w:rPr>
        <w:t xml:space="preserve"> </w:t>
      </w:r>
      <w:r w:rsidRPr="009379AD">
        <w:rPr>
          <w:rFonts w:ascii="Arial" w:hAnsi="Arial" w:cs="Arial"/>
          <w:sz w:val="16"/>
          <w:szCs w:val="16"/>
          <w:lang w:val="en-US"/>
        </w:rPr>
        <w:t>Volatility for Wind Developers</w:t>
      </w:r>
    </w:p>
  </w:footnote>
  <w:footnote w:id="10">
    <w:p w14:paraId="4643B621" w14:textId="7B7D23D7" w:rsidR="00901851" w:rsidRPr="00AB2045" w:rsidRDefault="00901851">
      <w:pPr>
        <w:pStyle w:val="FootnoteText"/>
        <w:rPr>
          <w:lang w:val="en-US"/>
        </w:rPr>
      </w:pPr>
      <w:r>
        <w:rPr>
          <w:rStyle w:val="FootnoteReference"/>
        </w:rPr>
        <w:footnoteRef/>
      </w:r>
      <w:r>
        <w:t xml:space="preserve"> </w:t>
      </w:r>
      <w:r w:rsidRPr="00901851">
        <w:rPr>
          <w:rFonts w:ascii="Arial" w:hAnsi="Arial" w:cs="Arial"/>
          <w:sz w:val="16"/>
          <w:szCs w:val="16"/>
        </w:rPr>
        <w:t xml:space="preserve">SSEN, Transmission (Sept 2021). Offshore Wind Transmission Charges. </w:t>
      </w:r>
      <w:r w:rsidRPr="00AB2045">
        <w:rPr>
          <w:rFonts w:ascii="Arial" w:hAnsi="Arial" w:cs="Arial"/>
          <w:sz w:val="16"/>
          <w:szCs w:val="16"/>
        </w:rPr>
        <w:t xml:space="preserve">Available: </w:t>
      </w:r>
      <w:hyperlink r:id="rId7" w:history="1">
        <w:r w:rsidRPr="00AB2045">
          <w:rPr>
            <w:rStyle w:val="Hyperlink"/>
            <w:rFonts w:ascii="Arial" w:hAnsi="Arial" w:cs="Arial"/>
            <w:sz w:val="16"/>
            <w:szCs w:val="16"/>
          </w:rPr>
          <w:t>https://www.ssen-transmission.co.uk/media/5764/ssen-transmission-offshore-tnuos-addendum_.pdf</w:t>
        </w:r>
      </w:hyperlink>
      <w:r w:rsidRPr="00AB2045">
        <w:rPr>
          <w:rFonts w:ascii="Arial" w:hAnsi="Arial" w:cs="Arial"/>
          <w:sz w:val="16"/>
          <w:szCs w:val="16"/>
        </w:rPr>
        <w:t xml:space="preserve"> </w:t>
      </w:r>
    </w:p>
  </w:footnote>
  <w:footnote w:id="11">
    <w:p w14:paraId="0B87B30B" w14:textId="5F71563A" w:rsidR="005B6787" w:rsidRPr="00AB2045" w:rsidRDefault="005B6787">
      <w:pPr>
        <w:pStyle w:val="FootnoteText"/>
        <w:rPr>
          <w:rFonts w:ascii="Arial" w:hAnsi="Arial" w:cs="Arial"/>
          <w:sz w:val="16"/>
          <w:szCs w:val="16"/>
          <w:lang w:val="en-US"/>
        </w:rPr>
      </w:pPr>
      <w:r>
        <w:rPr>
          <w:rStyle w:val="FootnoteReference"/>
        </w:rPr>
        <w:footnoteRef/>
      </w:r>
      <w:r>
        <w:t xml:space="preserve"> </w:t>
      </w:r>
      <w:r w:rsidRPr="005B6787">
        <w:rPr>
          <w:rFonts w:ascii="Arial" w:hAnsi="Arial" w:cs="Arial"/>
          <w:sz w:val="16"/>
          <w:szCs w:val="16"/>
        </w:rPr>
        <w:t xml:space="preserve">SSEN, Transmission (Sept 2021). Offshore Wind Transmission Charges. </w:t>
      </w:r>
      <w:r w:rsidRPr="00AB2045">
        <w:rPr>
          <w:rFonts w:ascii="Arial" w:hAnsi="Arial" w:cs="Arial"/>
          <w:sz w:val="16"/>
          <w:szCs w:val="16"/>
        </w:rPr>
        <w:t xml:space="preserve">Available: </w:t>
      </w:r>
      <w:hyperlink r:id="rId8" w:history="1">
        <w:r w:rsidRPr="00AB2045">
          <w:rPr>
            <w:rStyle w:val="Hyperlink"/>
            <w:rFonts w:ascii="Arial" w:hAnsi="Arial" w:cs="Arial"/>
            <w:sz w:val="16"/>
            <w:szCs w:val="16"/>
          </w:rPr>
          <w:t>https://www.ssen-transmission.co.uk/media/5764/ssen-transmission-offshore-tnuos-addendum_.pdf</w:t>
        </w:r>
      </w:hyperlink>
      <w:r w:rsidRPr="00AB2045">
        <w:rPr>
          <w:rFonts w:ascii="Arial" w:hAnsi="Arial" w:cs="Arial"/>
          <w:sz w:val="16"/>
          <w:szCs w:val="16"/>
        </w:rPr>
        <w:t xml:space="preserve"> </w:t>
      </w:r>
    </w:p>
  </w:footnote>
  <w:footnote w:id="12">
    <w:p w14:paraId="763B61F3" w14:textId="4957BAA8" w:rsidR="00E8669E" w:rsidRPr="00AB2045" w:rsidRDefault="00E8669E">
      <w:pPr>
        <w:pStyle w:val="FootnoteText"/>
        <w:rPr>
          <w:lang w:val="en-US"/>
        </w:rPr>
      </w:pPr>
      <w:r>
        <w:rPr>
          <w:rStyle w:val="FootnoteReference"/>
        </w:rPr>
        <w:footnoteRef/>
      </w:r>
      <w:r>
        <w:t xml:space="preserve"> </w:t>
      </w:r>
      <w:r w:rsidRPr="00E8669E">
        <w:rPr>
          <w:rFonts w:ascii="Arial" w:eastAsia="Times New Roman" w:hAnsi="Arial" w:cs="Arial"/>
          <w:sz w:val="16"/>
          <w:szCs w:val="16"/>
          <w:lang w:eastAsia="en-GB"/>
        </w:rPr>
        <w:t xml:space="preserve">Ofgem, Access &amp; Forward-Looking Charges SCR Minded-To Publication (Jul 2021) – document (3) CEPA TNEI Quantitative analysis, page 29 table 5.3. </w:t>
      </w:r>
      <w:r w:rsidRPr="00AB2045">
        <w:rPr>
          <w:rFonts w:ascii="Arial" w:eastAsia="Times New Roman" w:hAnsi="Arial" w:cs="Arial"/>
          <w:sz w:val="16"/>
          <w:szCs w:val="16"/>
          <w:lang w:eastAsia="en-GB"/>
        </w:rPr>
        <w:t xml:space="preserve">Available: </w:t>
      </w:r>
      <w:hyperlink r:id="rId9" w:history="1">
        <w:r w:rsidRPr="00AB2045">
          <w:rPr>
            <w:rStyle w:val="Hyperlink"/>
            <w:rFonts w:ascii="Arial" w:eastAsia="Times New Roman" w:hAnsi="Arial" w:cs="Arial"/>
            <w:sz w:val="16"/>
            <w:szCs w:val="16"/>
            <w:lang w:eastAsia="en-GB"/>
          </w:rPr>
          <w:t>https://www.ofgem.gov.uk/publications/access-and-forward-looking-charges-significant-code-review-consultation-minded-positions</w:t>
        </w:r>
      </w:hyperlink>
      <w:r w:rsidRPr="00AB2045">
        <w:rPr>
          <w:rFonts w:ascii="Arial" w:eastAsia="Times New Roman" w:hAnsi="Arial" w:cs="Arial"/>
          <w:sz w:val="16"/>
          <w:szCs w:val="16"/>
          <w:lang w:eastAsia="en-GB"/>
        </w:rPr>
        <w:t xml:space="preserve"> </w:t>
      </w:r>
    </w:p>
  </w:footnote>
  <w:footnote w:id="13">
    <w:p w14:paraId="5B8B468B" w14:textId="747F22FF" w:rsidR="00DE6C2B" w:rsidRPr="007C1CEB" w:rsidRDefault="00DE6C2B">
      <w:pPr>
        <w:pStyle w:val="FootnoteText"/>
        <w:rPr>
          <w:lang w:val="en-US"/>
        </w:rPr>
      </w:pPr>
      <w:r>
        <w:rPr>
          <w:rStyle w:val="FootnoteReference"/>
        </w:rPr>
        <w:footnoteRef/>
      </w:r>
      <w:r>
        <w:t xml:space="preserve"> </w:t>
      </w:r>
      <w:r w:rsidRPr="00DE6C2B">
        <w:rPr>
          <w:rFonts w:ascii="Arial" w:hAnsi="Arial" w:cs="Arial"/>
          <w:sz w:val="16"/>
          <w:szCs w:val="16"/>
        </w:rPr>
        <w:t xml:space="preserve">Cornwall Insight (Jul 2021), Charging differentials for 132kv generation. </w:t>
      </w:r>
      <w:r w:rsidRPr="007C1CEB">
        <w:rPr>
          <w:rFonts w:ascii="Arial" w:hAnsi="Arial" w:cs="Arial"/>
          <w:sz w:val="16"/>
          <w:szCs w:val="16"/>
        </w:rPr>
        <w:t xml:space="preserve">Available: </w:t>
      </w:r>
      <w:hyperlink r:id="rId10" w:history="1">
        <w:r w:rsidRPr="007C1CEB">
          <w:rPr>
            <w:rStyle w:val="Hyperlink"/>
            <w:rFonts w:ascii="Arial" w:hAnsi="Arial" w:cs="Arial"/>
            <w:sz w:val="16"/>
            <w:szCs w:val="16"/>
          </w:rPr>
          <w:t>https://www.scottishrenewables.com/publications/924-report-charging-differentials-for-132kv-generation</w:t>
        </w:r>
      </w:hyperlink>
      <w:r w:rsidRPr="007C1CEB">
        <w:t xml:space="preserve"> </w:t>
      </w:r>
    </w:p>
  </w:footnote>
  <w:footnote w:id="14">
    <w:p w14:paraId="5A1C682E" w14:textId="2B28EBFD" w:rsidR="002F237B" w:rsidRDefault="002F237B">
      <w:pPr>
        <w:pStyle w:val="FootnoteText"/>
      </w:pPr>
      <w:r>
        <w:rPr>
          <w:rStyle w:val="FootnoteReference"/>
        </w:rPr>
        <w:footnoteRef/>
      </w:r>
      <w:r>
        <w:t xml:space="preserve"> Grid Supply Point – the substations where the transmission system and distribution networks meet</w:t>
      </w:r>
    </w:p>
  </w:footnote>
  <w:footnote w:id="15">
    <w:p w14:paraId="5BB07C7C" w14:textId="43919459" w:rsidR="00A22239" w:rsidRPr="00A22239" w:rsidRDefault="00A22239">
      <w:pPr>
        <w:pStyle w:val="FootnoteText"/>
        <w:rPr>
          <w:rFonts w:ascii="Arial" w:hAnsi="Arial" w:cs="Arial"/>
          <w:sz w:val="16"/>
          <w:szCs w:val="16"/>
          <w:lang w:val="en-US"/>
        </w:rPr>
      </w:pPr>
      <w:r>
        <w:rPr>
          <w:rStyle w:val="FootnoteReference"/>
        </w:rPr>
        <w:footnoteRef/>
      </w:r>
      <w:r>
        <w:t xml:space="preserve"> </w:t>
      </w:r>
      <w:r w:rsidRPr="00A22239">
        <w:rPr>
          <w:rFonts w:ascii="Arial" w:hAnsi="Arial" w:cs="Arial"/>
          <w:sz w:val="16"/>
          <w:szCs w:val="16"/>
        </w:rPr>
        <w:t xml:space="preserve">UK Government (2020). Energy white paper: Powering our net zero future. </w:t>
      </w:r>
      <w:hyperlink r:id="rId11" w:history="1">
        <w:r w:rsidRPr="0022076A">
          <w:rPr>
            <w:rStyle w:val="Hyperlink"/>
            <w:rFonts w:ascii="Arial" w:hAnsi="Arial" w:cs="Arial"/>
            <w:sz w:val="16"/>
            <w:szCs w:val="16"/>
          </w:rPr>
          <w:t>https://www.gov.uk/government/publications/energy-white-paper-powering-our-net-zero-future</w:t>
        </w:r>
      </w:hyperlink>
      <w:r>
        <w:rPr>
          <w:rFonts w:ascii="Arial" w:hAnsi="Arial" w:cs="Arial"/>
          <w:sz w:val="16"/>
          <w:szCs w:val="16"/>
        </w:rPr>
        <w:t xml:space="preserve"> </w:t>
      </w:r>
    </w:p>
  </w:footnote>
  <w:footnote w:id="16">
    <w:p w14:paraId="7797F13E" w14:textId="77777777" w:rsidR="00DE2E78" w:rsidRPr="008D7669" w:rsidRDefault="00DE2E78" w:rsidP="00DE2E78">
      <w:pPr>
        <w:pStyle w:val="FootnoteText"/>
        <w:rPr>
          <w:rFonts w:ascii="Arial" w:hAnsi="Arial" w:cs="Arial"/>
          <w:sz w:val="16"/>
          <w:szCs w:val="16"/>
        </w:rPr>
      </w:pPr>
      <w:r w:rsidRPr="008D7669">
        <w:rPr>
          <w:rStyle w:val="FootnoteReference"/>
          <w:rFonts w:ascii="Arial" w:hAnsi="Arial" w:cs="Arial"/>
          <w:sz w:val="16"/>
          <w:szCs w:val="16"/>
        </w:rPr>
        <w:footnoteRef/>
      </w:r>
      <w:r w:rsidRPr="008D7669">
        <w:rPr>
          <w:rFonts w:ascii="Arial" w:hAnsi="Arial" w:cs="Arial"/>
          <w:sz w:val="16"/>
          <w:szCs w:val="16"/>
        </w:rPr>
        <w:t xml:space="preserve"> Aurora Research (2021). Impact analysis of different geographic distributions of wind generation in GB</w:t>
      </w:r>
    </w:p>
  </w:footnote>
  <w:footnote w:id="17">
    <w:p w14:paraId="517147BF" w14:textId="43F1A36B" w:rsidR="008D7669" w:rsidRPr="008D7669" w:rsidRDefault="008D7669">
      <w:pPr>
        <w:pStyle w:val="FootnoteText"/>
        <w:rPr>
          <w:lang w:val="en-US"/>
        </w:rPr>
      </w:pPr>
      <w:r w:rsidRPr="008D7669">
        <w:rPr>
          <w:rStyle w:val="FootnoteReference"/>
          <w:rFonts w:ascii="Arial" w:hAnsi="Arial" w:cs="Arial"/>
          <w:sz w:val="16"/>
          <w:szCs w:val="16"/>
        </w:rPr>
        <w:footnoteRef/>
      </w:r>
      <w:r w:rsidRPr="008D7669">
        <w:rPr>
          <w:rFonts w:ascii="Arial" w:hAnsi="Arial" w:cs="Arial"/>
          <w:sz w:val="16"/>
          <w:szCs w:val="16"/>
        </w:rPr>
        <w:t xml:space="preserve"> </w:t>
      </w:r>
      <w:r w:rsidRPr="008D7669">
        <w:rPr>
          <w:rFonts w:ascii="Arial" w:hAnsi="Arial" w:cs="Arial"/>
          <w:sz w:val="16"/>
          <w:szCs w:val="16"/>
          <w:lang w:val="en-US"/>
        </w:rPr>
        <w:t xml:space="preserve">National Grid </w:t>
      </w:r>
      <w:proofErr w:type="spellStart"/>
      <w:r w:rsidRPr="008D7669">
        <w:rPr>
          <w:rFonts w:ascii="Arial" w:hAnsi="Arial" w:cs="Arial"/>
          <w:sz w:val="16"/>
          <w:szCs w:val="16"/>
          <w:lang w:val="en-US"/>
        </w:rPr>
        <w:t>ESo</w:t>
      </w:r>
      <w:proofErr w:type="spellEnd"/>
      <w:r w:rsidRPr="008D7669">
        <w:rPr>
          <w:rFonts w:ascii="Arial" w:hAnsi="Arial" w:cs="Arial"/>
          <w:sz w:val="16"/>
          <w:szCs w:val="16"/>
          <w:lang w:val="en-US"/>
        </w:rPr>
        <w:t xml:space="preserve"> (Aug 2021). Forecast </w:t>
      </w:r>
      <w:proofErr w:type="spellStart"/>
      <w:r w:rsidRPr="008D7669">
        <w:rPr>
          <w:rFonts w:ascii="Arial" w:hAnsi="Arial" w:cs="Arial"/>
          <w:sz w:val="16"/>
          <w:szCs w:val="16"/>
          <w:lang w:val="en-US"/>
        </w:rPr>
        <w:t>TNUoS</w:t>
      </w:r>
      <w:proofErr w:type="spellEnd"/>
      <w:r w:rsidRPr="008D7669">
        <w:rPr>
          <w:rFonts w:ascii="Arial" w:hAnsi="Arial" w:cs="Arial"/>
          <w:sz w:val="16"/>
          <w:szCs w:val="16"/>
          <w:lang w:val="en-US"/>
        </w:rPr>
        <w:t xml:space="preserve"> Tariffs for 2022/23. Available:   </w:t>
      </w:r>
      <w:hyperlink r:id="rId12" w:history="1">
        <w:r w:rsidRPr="008D7669">
          <w:rPr>
            <w:rStyle w:val="Hyperlink"/>
            <w:rFonts w:ascii="Arial" w:hAnsi="Arial" w:cs="Arial"/>
            <w:sz w:val="16"/>
            <w:szCs w:val="16"/>
            <w:lang w:val="en-US"/>
          </w:rPr>
          <w:t>https://www.nationalgrideso.com/document/207346/download</w:t>
        </w:r>
      </w:hyperlink>
      <w:r>
        <w:rPr>
          <w:lang w:val="en-US"/>
        </w:rPr>
        <w:t xml:space="preserve"> </w:t>
      </w:r>
    </w:p>
  </w:footnote>
  <w:footnote w:id="18">
    <w:p w14:paraId="79C75D64" w14:textId="16C911D6" w:rsidR="000D3274" w:rsidRPr="008D7669" w:rsidRDefault="000D3274" w:rsidP="000D3274">
      <w:pPr>
        <w:pStyle w:val="FootnoteText"/>
        <w:rPr>
          <w:lang w:val="en-US"/>
        </w:rPr>
      </w:pPr>
      <w:r w:rsidRPr="008D7669">
        <w:rPr>
          <w:rStyle w:val="FootnoteReference"/>
          <w:rFonts w:ascii="Arial" w:hAnsi="Arial" w:cs="Arial"/>
          <w:sz w:val="16"/>
          <w:szCs w:val="16"/>
        </w:rPr>
        <w:footnoteRef/>
      </w:r>
      <w:r w:rsidRPr="008D7669">
        <w:rPr>
          <w:rFonts w:ascii="Arial" w:hAnsi="Arial" w:cs="Arial"/>
          <w:sz w:val="16"/>
          <w:szCs w:val="16"/>
        </w:rPr>
        <w:t xml:space="preserve"> </w:t>
      </w:r>
      <w:r w:rsidRPr="008D7669">
        <w:rPr>
          <w:rFonts w:ascii="Arial" w:hAnsi="Arial" w:cs="Arial"/>
          <w:sz w:val="16"/>
          <w:szCs w:val="16"/>
          <w:lang w:val="en-US"/>
        </w:rPr>
        <w:t xml:space="preserve">National Grid </w:t>
      </w:r>
      <w:proofErr w:type="spellStart"/>
      <w:r w:rsidRPr="008D7669">
        <w:rPr>
          <w:rFonts w:ascii="Arial" w:hAnsi="Arial" w:cs="Arial"/>
          <w:sz w:val="16"/>
          <w:szCs w:val="16"/>
          <w:lang w:val="en-US"/>
        </w:rPr>
        <w:t>ESo</w:t>
      </w:r>
      <w:proofErr w:type="spellEnd"/>
      <w:r w:rsidRPr="008D7669">
        <w:rPr>
          <w:rFonts w:ascii="Arial" w:hAnsi="Arial" w:cs="Arial"/>
          <w:sz w:val="16"/>
          <w:szCs w:val="16"/>
          <w:lang w:val="en-US"/>
        </w:rPr>
        <w:t xml:space="preserve"> (Aug 2021). Forecast </w:t>
      </w:r>
      <w:proofErr w:type="spellStart"/>
      <w:r w:rsidRPr="008D7669">
        <w:rPr>
          <w:rFonts w:ascii="Arial" w:hAnsi="Arial" w:cs="Arial"/>
          <w:sz w:val="16"/>
          <w:szCs w:val="16"/>
          <w:lang w:val="en-US"/>
        </w:rPr>
        <w:t>TNUoS</w:t>
      </w:r>
      <w:proofErr w:type="spellEnd"/>
      <w:r w:rsidRPr="008D7669">
        <w:rPr>
          <w:rFonts w:ascii="Arial" w:hAnsi="Arial" w:cs="Arial"/>
          <w:sz w:val="16"/>
          <w:szCs w:val="16"/>
          <w:lang w:val="en-US"/>
        </w:rPr>
        <w:t xml:space="preserve"> Tariffs for 2022/23. </w:t>
      </w:r>
      <w:r>
        <w:rPr>
          <w:rFonts w:ascii="Arial" w:hAnsi="Arial" w:cs="Arial"/>
          <w:sz w:val="16"/>
          <w:szCs w:val="16"/>
          <w:lang w:val="en-US"/>
        </w:rPr>
        <w:t xml:space="preserve">Generator Wider Tariffs, p11. </w:t>
      </w:r>
      <w:r w:rsidRPr="008D7669">
        <w:rPr>
          <w:rFonts w:ascii="Arial" w:hAnsi="Arial" w:cs="Arial"/>
          <w:sz w:val="16"/>
          <w:szCs w:val="16"/>
          <w:lang w:val="en-US"/>
        </w:rPr>
        <w:t xml:space="preserve">Available:   </w:t>
      </w:r>
      <w:hyperlink r:id="rId13" w:history="1">
        <w:r w:rsidRPr="008D7669">
          <w:rPr>
            <w:rStyle w:val="Hyperlink"/>
            <w:rFonts w:ascii="Arial" w:hAnsi="Arial" w:cs="Arial"/>
            <w:sz w:val="16"/>
            <w:szCs w:val="16"/>
            <w:lang w:val="en-US"/>
          </w:rPr>
          <w:t>https://www.nationalgrideso.com/document/207346/download</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E387" w14:textId="77777777" w:rsidR="004F5FEA" w:rsidRDefault="004F5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EC4A" w14:textId="0F566F33" w:rsidR="004F5FEA" w:rsidRDefault="004F5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555" w14:textId="63F669F7" w:rsidR="00A0128E" w:rsidRDefault="00B14D9A">
    <w:pPr>
      <w:pStyle w:val="Header"/>
    </w:pPr>
    <w:sdt>
      <w:sdtPr>
        <w:id w:val="-23641020"/>
        <w:docPartObj>
          <w:docPartGallery w:val="Watermarks"/>
          <w:docPartUnique/>
        </w:docPartObj>
      </w:sdtPr>
      <w:sdtContent>
        <w:r>
          <w:rPr>
            <w:noProof/>
          </w:rPr>
          <w:pict w14:anchorId="2D8781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842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0128E" w:rsidRPr="004C05DF">
      <w:rPr>
        <w:rFonts w:ascii="Arial" w:hAnsi="Arial" w:cs="Arial"/>
        <w:noProof/>
        <w:sz w:val="20"/>
        <w:szCs w:val="20"/>
        <w:lang w:eastAsia="en-GB"/>
      </w:rPr>
      <w:drawing>
        <wp:anchor distT="0" distB="0" distL="114300" distR="114300" simplePos="0" relativeHeight="251657216" behindDoc="1" locked="1" layoutInCell="1" allowOverlap="1" wp14:anchorId="2D351BAE" wp14:editId="77BC0DD8">
          <wp:simplePos x="0" y="0"/>
          <wp:positionH relativeFrom="column">
            <wp:posOffset>3944620</wp:posOffset>
          </wp:positionH>
          <wp:positionV relativeFrom="page">
            <wp:posOffset>572770</wp:posOffset>
          </wp:positionV>
          <wp:extent cx="2375535" cy="949960"/>
          <wp:effectExtent l="0" t="0" r="5715"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B06"/>
    <w:multiLevelType w:val="hybridMultilevel"/>
    <w:tmpl w:val="BD12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B53F2"/>
    <w:multiLevelType w:val="hybridMultilevel"/>
    <w:tmpl w:val="730AC02A"/>
    <w:lvl w:ilvl="0" w:tplc="7DF6A7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472"/>
    <w:multiLevelType w:val="hybridMultilevel"/>
    <w:tmpl w:val="AE72C56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465749"/>
    <w:multiLevelType w:val="hybridMultilevel"/>
    <w:tmpl w:val="C9A41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32F2D"/>
    <w:multiLevelType w:val="hybridMultilevel"/>
    <w:tmpl w:val="991AFC7C"/>
    <w:lvl w:ilvl="0" w:tplc="B510C5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C4759"/>
    <w:multiLevelType w:val="hybridMultilevel"/>
    <w:tmpl w:val="EB06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8742E"/>
    <w:multiLevelType w:val="multilevel"/>
    <w:tmpl w:val="1CF4F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EB2DBB"/>
    <w:multiLevelType w:val="hybridMultilevel"/>
    <w:tmpl w:val="F91E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13E7"/>
    <w:multiLevelType w:val="hybridMultilevel"/>
    <w:tmpl w:val="8B76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D1D03"/>
    <w:multiLevelType w:val="hybridMultilevel"/>
    <w:tmpl w:val="5CAA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F3DEA"/>
    <w:multiLevelType w:val="hybridMultilevel"/>
    <w:tmpl w:val="2864EE0C"/>
    <w:lvl w:ilvl="0" w:tplc="34F4CB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86353"/>
    <w:multiLevelType w:val="hybridMultilevel"/>
    <w:tmpl w:val="5C582664"/>
    <w:lvl w:ilvl="0" w:tplc="7BCA7A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A227F"/>
    <w:multiLevelType w:val="hybridMultilevel"/>
    <w:tmpl w:val="68D2A9D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6C7603"/>
    <w:multiLevelType w:val="multilevel"/>
    <w:tmpl w:val="1CF4F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E21D97"/>
    <w:multiLevelType w:val="multilevel"/>
    <w:tmpl w:val="D1728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CE61CA"/>
    <w:multiLevelType w:val="hybridMultilevel"/>
    <w:tmpl w:val="2724FC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CA0705"/>
    <w:multiLevelType w:val="hybridMultilevel"/>
    <w:tmpl w:val="499C5B44"/>
    <w:lvl w:ilvl="0" w:tplc="A57C25BA">
      <w:start w:val="1"/>
      <w:numFmt w:val="bullet"/>
      <w:lvlText w:val="-"/>
      <w:lvlJc w:val="left"/>
      <w:pPr>
        <w:ind w:left="720" w:hanging="360"/>
      </w:pPr>
      <w:rPr>
        <w:rFonts w:ascii="Arial" w:eastAsia="Times New Roman" w:hAnsi="Arial" w:cs="Aria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A7E1E"/>
    <w:multiLevelType w:val="hybridMultilevel"/>
    <w:tmpl w:val="B65A0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FAB6BA2"/>
    <w:multiLevelType w:val="hybridMultilevel"/>
    <w:tmpl w:val="34FE4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7C65A6"/>
    <w:multiLevelType w:val="hybridMultilevel"/>
    <w:tmpl w:val="B61AAB8E"/>
    <w:lvl w:ilvl="0" w:tplc="448C40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45E82"/>
    <w:multiLevelType w:val="hybridMultilevel"/>
    <w:tmpl w:val="C4A4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52E99"/>
    <w:multiLevelType w:val="hybridMultilevel"/>
    <w:tmpl w:val="88128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3F1AA5"/>
    <w:multiLevelType w:val="hybridMultilevel"/>
    <w:tmpl w:val="A614EF7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40177F53"/>
    <w:multiLevelType w:val="hybridMultilevel"/>
    <w:tmpl w:val="66D09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E83B62"/>
    <w:multiLevelType w:val="hybridMultilevel"/>
    <w:tmpl w:val="FAAA0F0A"/>
    <w:lvl w:ilvl="0" w:tplc="35E296D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8E141E"/>
    <w:multiLevelType w:val="hybridMultilevel"/>
    <w:tmpl w:val="D0A27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1515E8"/>
    <w:multiLevelType w:val="hybridMultilevel"/>
    <w:tmpl w:val="2B72F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590D56"/>
    <w:multiLevelType w:val="hybridMultilevel"/>
    <w:tmpl w:val="3DA67D60"/>
    <w:lvl w:ilvl="0" w:tplc="448C40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62BF6"/>
    <w:multiLevelType w:val="hybridMultilevel"/>
    <w:tmpl w:val="5F5A8944"/>
    <w:lvl w:ilvl="0" w:tplc="676E8596">
      <w:start w:val="1"/>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B65B23"/>
    <w:multiLevelType w:val="hybridMultilevel"/>
    <w:tmpl w:val="37DE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27867"/>
    <w:multiLevelType w:val="hybridMultilevel"/>
    <w:tmpl w:val="0BC4B928"/>
    <w:lvl w:ilvl="0" w:tplc="03FE810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7482C"/>
    <w:multiLevelType w:val="hybridMultilevel"/>
    <w:tmpl w:val="E7D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22884"/>
    <w:multiLevelType w:val="hybridMultilevel"/>
    <w:tmpl w:val="0FF2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4012B"/>
    <w:multiLevelType w:val="hybridMultilevel"/>
    <w:tmpl w:val="1FAC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B5324"/>
    <w:multiLevelType w:val="hybridMultilevel"/>
    <w:tmpl w:val="A8868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23132C"/>
    <w:multiLevelType w:val="hybridMultilevel"/>
    <w:tmpl w:val="175229DA"/>
    <w:lvl w:ilvl="0" w:tplc="594421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83F3D"/>
    <w:multiLevelType w:val="hybridMultilevel"/>
    <w:tmpl w:val="82E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60BF1"/>
    <w:multiLevelType w:val="hybridMultilevel"/>
    <w:tmpl w:val="B81C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E6516"/>
    <w:multiLevelType w:val="hybridMultilevel"/>
    <w:tmpl w:val="9A9C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1F28E7"/>
    <w:multiLevelType w:val="hybridMultilevel"/>
    <w:tmpl w:val="A41A0F1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FEB3B42"/>
    <w:multiLevelType w:val="hybridMultilevel"/>
    <w:tmpl w:val="53FEA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1"/>
  </w:num>
  <w:num w:numId="3">
    <w:abstractNumId w:val="25"/>
  </w:num>
  <w:num w:numId="4">
    <w:abstractNumId w:val="34"/>
  </w:num>
  <w:num w:numId="5">
    <w:abstractNumId w:val="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4"/>
  </w:num>
  <w:num w:numId="10">
    <w:abstractNumId w:val="27"/>
  </w:num>
  <w:num w:numId="11">
    <w:abstractNumId w:val="19"/>
  </w:num>
  <w:num w:numId="12">
    <w:abstractNumId w:val="11"/>
  </w:num>
  <w:num w:numId="13">
    <w:abstractNumId w:val="24"/>
  </w:num>
  <w:num w:numId="14">
    <w:abstractNumId w:val="23"/>
  </w:num>
  <w:num w:numId="15">
    <w:abstractNumId w:val="28"/>
  </w:num>
  <w:num w:numId="16">
    <w:abstractNumId w:val="31"/>
  </w:num>
  <w:num w:numId="17">
    <w:abstractNumId w:val="18"/>
  </w:num>
  <w:num w:numId="18">
    <w:abstractNumId w:val="9"/>
  </w:num>
  <w:num w:numId="19">
    <w:abstractNumId w:val="1"/>
  </w:num>
  <w:num w:numId="20">
    <w:abstractNumId w:val="10"/>
  </w:num>
  <w:num w:numId="21">
    <w:abstractNumId w:val="39"/>
    <w:lvlOverride w:ilvl="0">
      <w:startOverride w:val="1"/>
    </w:lvlOverride>
    <w:lvlOverride w:ilvl="1"/>
    <w:lvlOverride w:ilvl="2"/>
    <w:lvlOverride w:ilvl="3"/>
    <w:lvlOverride w:ilvl="4"/>
    <w:lvlOverride w:ilvl="5"/>
    <w:lvlOverride w:ilvl="6"/>
    <w:lvlOverride w:ilvl="7"/>
    <w:lvlOverride w:ilvl="8"/>
  </w:num>
  <w:num w:numId="22">
    <w:abstractNumId w:val="37"/>
  </w:num>
  <w:num w:numId="23">
    <w:abstractNumId w:val="32"/>
  </w:num>
  <w:num w:numId="24">
    <w:abstractNumId w:val="26"/>
  </w:num>
  <w:num w:numId="25">
    <w:abstractNumId w:val="29"/>
  </w:num>
  <w:num w:numId="26">
    <w:abstractNumId w:val="35"/>
  </w:num>
  <w:num w:numId="27">
    <w:abstractNumId w:val="13"/>
  </w:num>
  <w:num w:numId="28">
    <w:abstractNumId w:val="40"/>
  </w:num>
  <w:num w:numId="29">
    <w:abstractNumId w:val="16"/>
  </w:num>
  <w:num w:numId="30">
    <w:abstractNumId w:val="4"/>
  </w:num>
  <w:num w:numId="31">
    <w:abstractNumId w:val="0"/>
  </w:num>
  <w:num w:numId="32">
    <w:abstractNumId w:val="30"/>
  </w:num>
  <w:num w:numId="33">
    <w:abstractNumId w:val="5"/>
  </w:num>
  <w:num w:numId="34">
    <w:abstractNumId w:val="20"/>
  </w:num>
  <w:num w:numId="35">
    <w:abstractNumId w:val="36"/>
  </w:num>
  <w:num w:numId="36">
    <w:abstractNumId w:val="3"/>
  </w:num>
  <w:num w:numId="37">
    <w:abstractNumId w:val="22"/>
  </w:num>
  <w:num w:numId="38">
    <w:abstractNumId w:val="38"/>
  </w:num>
  <w:num w:numId="39">
    <w:abstractNumId w:val="33"/>
  </w:num>
  <w:num w:numId="40">
    <w:abstractNumId w:val="12"/>
  </w:num>
  <w:num w:numId="41">
    <w:abstractNumId w:val="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188421"/>
    <o:shapelayout v:ext="edit">
      <o:idmap v:ext="edit" data="18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1"/>
    <w:rsid w:val="00002CE2"/>
    <w:rsid w:val="00004778"/>
    <w:rsid w:val="00005B82"/>
    <w:rsid w:val="000104C2"/>
    <w:rsid w:val="0001142E"/>
    <w:rsid w:val="0001365C"/>
    <w:rsid w:val="0001749F"/>
    <w:rsid w:val="00025759"/>
    <w:rsid w:val="00025862"/>
    <w:rsid w:val="00031324"/>
    <w:rsid w:val="00031A53"/>
    <w:rsid w:val="00032ED7"/>
    <w:rsid w:val="00033439"/>
    <w:rsid w:val="0003386B"/>
    <w:rsid w:val="00033870"/>
    <w:rsid w:val="000338FB"/>
    <w:rsid w:val="00034035"/>
    <w:rsid w:val="00043BBB"/>
    <w:rsid w:val="000457FE"/>
    <w:rsid w:val="000463A7"/>
    <w:rsid w:val="00052993"/>
    <w:rsid w:val="000538E0"/>
    <w:rsid w:val="000558F7"/>
    <w:rsid w:val="00055AB2"/>
    <w:rsid w:val="00055EF3"/>
    <w:rsid w:val="00056AE5"/>
    <w:rsid w:val="00063EBA"/>
    <w:rsid w:val="0006535D"/>
    <w:rsid w:val="000654B3"/>
    <w:rsid w:val="00067BC0"/>
    <w:rsid w:val="000763FA"/>
    <w:rsid w:val="000804F6"/>
    <w:rsid w:val="00082545"/>
    <w:rsid w:val="00083E22"/>
    <w:rsid w:val="00084F80"/>
    <w:rsid w:val="00091094"/>
    <w:rsid w:val="000935A1"/>
    <w:rsid w:val="00095EC1"/>
    <w:rsid w:val="000A3787"/>
    <w:rsid w:val="000A48D0"/>
    <w:rsid w:val="000B04D0"/>
    <w:rsid w:val="000B0859"/>
    <w:rsid w:val="000B15DD"/>
    <w:rsid w:val="000B2DBD"/>
    <w:rsid w:val="000B340F"/>
    <w:rsid w:val="000B39E8"/>
    <w:rsid w:val="000B4229"/>
    <w:rsid w:val="000B4793"/>
    <w:rsid w:val="000B75FF"/>
    <w:rsid w:val="000C07E2"/>
    <w:rsid w:val="000C130F"/>
    <w:rsid w:val="000C43F3"/>
    <w:rsid w:val="000C59A9"/>
    <w:rsid w:val="000C6677"/>
    <w:rsid w:val="000C7A9D"/>
    <w:rsid w:val="000D3274"/>
    <w:rsid w:val="000D50EB"/>
    <w:rsid w:val="000E250B"/>
    <w:rsid w:val="000E38F7"/>
    <w:rsid w:val="000E6243"/>
    <w:rsid w:val="000E726A"/>
    <w:rsid w:val="000F2F8A"/>
    <w:rsid w:val="000F6524"/>
    <w:rsid w:val="000F6ACB"/>
    <w:rsid w:val="0010162F"/>
    <w:rsid w:val="00102595"/>
    <w:rsid w:val="00104D25"/>
    <w:rsid w:val="001055CA"/>
    <w:rsid w:val="00106D8E"/>
    <w:rsid w:val="00107BC4"/>
    <w:rsid w:val="00107BDC"/>
    <w:rsid w:val="0011031A"/>
    <w:rsid w:val="001128AE"/>
    <w:rsid w:val="00114592"/>
    <w:rsid w:val="00115A74"/>
    <w:rsid w:val="0012076B"/>
    <w:rsid w:val="0012102D"/>
    <w:rsid w:val="00124A07"/>
    <w:rsid w:val="00124F79"/>
    <w:rsid w:val="00130923"/>
    <w:rsid w:val="00132512"/>
    <w:rsid w:val="001335B3"/>
    <w:rsid w:val="0013518E"/>
    <w:rsid w:val="00135288"/>
    <w:rsid w:val="00135F6C"/>
    <w:rsid w:val="0013693F"/>
    <w:rsid w:val="00137949"/>
    <w:rsid w:val="00141012"/>
    <w:rsid w:val="001411F0"/>
    <w:rsid w:val="001444DA"/>
    <w:rsid w:val="00147924"/>
    <w:rsid w:val="00147D36"/>
    <w:rsid w:val="00150613"/>
    <w:rsid w:val="00153EF8"/>
    <w:rsid w:val="00161C1C"/>
    <w:rsid w:val="0016401E"/>
    <w:rsid w:val="00166588"/>
    <w:rsid w:val="00171277"/>
    <w:rsid w:val="0017271C"/>
    <w:rsid w:val="0017317B"/>
    <w:rsid w:val="00176A38"/>
    <w:rsid w:val="0017716D"/>
    <w:rsid w:val="00180234"/>
    <w:rsid w:val="001903F1"/>
    <w:rsid w:val="00192E9C"/>
    <w:rsid w:val="001936D0"/>
    <w:rsid w:val="0019579E"/>
    <w:rsid w:val="001958E6"/>
    <w:rsid w:val="001A052B"/>
    <w:rsid w:val="001A084A"/>
    <w:rsid w:val="001A1BC5"/>
    <w:rsid w:val="001A7DB6"/>
    <w:rsid w:val="001B1758"/>
    <w:rsid w:val="001B5E79"/>
    <w:rsid w:val="001B6F25"/>
    <w:rsid w:val="001C1505"/>
    <w:rsid w:val="001C2975"/>
    <w:rsid w:val="001C2BAE"/>
    <w:rsid w:val="001C3951"/>
    <w:rsid w:val="001C3BF2"/>
    <w:rsid w:val="001C3E37"/>
    <w:rsid w:val="001C6634"/>
    <w:rsid w:val="001D0D8D"/>
    <w:rsid w:val="001D1141"/>
    <w:rsid w:val="001D3A10"/>
    <w:rsid w:val="001D4A49"/>
    <w:rsid w:val="001E4EF8"/>
    <w:rsid w:val="001F24FC"/>
    <w:rsid w:val="001F25B0"/>
    <w:rsid w:val="001F6B1E"/>
    <w:rsid w:val="002017E0"/>
    <w:rsid w:val="00203DCC"/>
    <w:rsid w:val="002112AD"/>
    <w:rsid w:val="00214C54"/>
    <w:rsid w:val="002178AC"/>
    <w:rsid w:val="00217ED4"/>
    <w:rsid w:val="00223712"/>
    <w:rsid w:val="00223DBA"/>
    <w:rsid w:val="0023192E"/>
    <w:rsid w:val="00231ABD"/>
    <w:rsid w:val="00232965"/>
    <w:rsid w:val="00233308"/>
    <w:rsid w:val="00241627"/>
    <w:rsid w:val="002427C9"/>
    <w:rsid w:val="00247F08"/>
    <w:rsid w:val="00250170"/>
    <w:rsid w:val="002509D0"/>
    <w:rsid w:val="00254C66"/>
    <w:rsid w:val="00261177"/>
    <w:rsid w:val="00265021"/>
    <w:rsid w:val="00266F32"/>
    <w:rsid w:val="002704CD"/>
    <w:rsid w:val="002707D7"/>
    <w:rsid w:val="00276988"/>
    <w:rsid w:val="0028477C"/>
    <w:rsid w:val="002852FF"/>
    <w:rsid w:val="0028530A"/>
    <w:rsid w:val="00287305"/>
    <w:rsid w:val="002875B0"/>
    <w:rsid w:val="00287C4F"/>
    <w:rsid w:val="00290D1C"/>
    <w:rsid w:val="00293032"/>
    <w:rsid w:val="002941A2"/>
    <w:rsid w:val="00294C5E"/>
    <w:rsid w:val="00294CE7"/>
    <w:rsid w:val="00297C56"/>
    <w:rsid w:val="002A15B6"/>
    <w:rsid w:val="002A1F9A"/>
    <w:rsid w:val="002A426E"/>
    <w:rsid w:val="002B1CD9"/>
    <w:rsid w:val="002B22C2"/>
    <w:rsid w:val="002B4484"/>
    <w:rsid w:val="002B6A2B"/>
    <w:rsid w:val="002B7939"/>
    <w:rsid w:val="002C00D1"/>
    <w:rsid w:val="002C3A72"/>
    <w:rsid w:val="002C4308"/>
    <w:rsid w:val="002D087C"/>
    <w:rsid w:val="002D109E"/>
    <w:rsid w:val="002D118A"/>
    <w:rsid w:val="002D14FF"/>
    <w:rsid w:val="002D1A30"/>
    <w:rsid w:val="002D22AA"/>
    <w:rsid w:val="002D438D"/>
    <w:rsid w:val="002D48DB"/>
    <w:rsid w:val="002D7573"/>
    <w:rsid w:val="002D7FDA"/>
    <w:rsid w:val="002E076E"/>
    <w:rsid w:val="002E1C1B"/>
    <w:rsid w:val="002E5143"/>
    <w:rsid w:val="002E612B"/>
    <w:rsid w:val="002E672B"/>
    <w:rsid w:val="002F214A"/>
    <w:rsid w:val="002F237B"/>
    <w:rsid w:val="002F3C07"/>
    <w:rsid w:val="002F7080"/>
    <w:rsid w:val="003001D4"/>
    <w:rsid w:val="003064D6"/>
    <w:rsid w:val="00306991"/>
    <w:rsid w:val="00314025"/>
    <w:rsid w:val="00315D3A"/>
    <w:rsid w:val="00316F2E"/>
    <w:rsid w:val="00317EE6"/>
    <w:rsid w:val="00323A30"/>
    <w:rsid w:val="00324E86"/>
    <w:rsid w:val="0033018E"/>
    <w:rsid w:val="00332CE2"/>
    <w:rsid w:val="00334631"/>
    <w:rsid w:val="00344652"/>
    <w:rsid w:val="0034488E"/>
    <w:rsid w:val="0034569D"/>
    <w:rsid w:val="003470A2"/>
    <w:rsid w:val="0035230C"/>
    <w:rsid w:val="00353DA9"/>
    <w:rsid w:val="0035410B"/>
    <w:rsid w:val="00354C21"/>
    <w:rsid w:val="00354DA1"/>
    <w:rsid w:val="00357001"/>
    <w:rsid w:val="003606F8"/>
    <w:rsid w:val="003669D6"/>
    <w:rsid w:val="00367EBD"/>
    <w:rsid w:val="00367EE0"/>
    <w:rsid w:val="003713D0"/>
    <w:rsid w:val="003715CA"/>
    <w:rsid w:val="003757CA"/>
    <w:rsid w:val="003760A8"/>
    <w:rsid w:val="0038054E"/>
    <w:rsid w:val="003862CB"/>
    <w:rsid w:val="00392274"/>
    <w:rsid w:val="003C1FC0"/>
    <w:rsid w:val="003C6D01"/>
    <w:rsid w:val="003C7FF8"/>
    <w:rsid w:val="003D5666"/>
    <w:rsid w:val="003D7F62"/>
    <w:rsid w:val="003E263F"/>
    <w:rsid w:val="003E4954"/>
    <w:rsid w:val="003E6456"/>
    <w:rsid w:val="003E6BC7"/>
    <w:rsid w:val="003F0E99"/>
    <w:rsid w:val="003F2113"/>
    <w:rsid w:val="003F4D55"/>
    <w:rsid w:val="003F5127"/>
    <w:rsid w:val="00400BED"/>
    <w:rsid w:val="00401702"/>
    <w:rsid w:val="00404274"/>
    <w:rsid w:val="00404821"/>
    <w:rsid w:val="00404F5E"/>
    <w:rsid w:val="004054B0"/>
    <w:rsid w:val="00407969"/>
    <w:rsid w:val="004107E1"/>
    <w:rsid w:val="00410AE0"/>
    <w:rsid w:val="004114D6"/>
    <w:rsid w:val="004127BD"/>
    <w:rsid w:val="00413450"/>
    <w:rsid w:val="00415242"/>
    <w:rsid w:val="00417524"/>
    <w:rsid w:val="00422108"/>
    <w:rsid w:val="00422354"/>
    <w:rsid w:val="004252CC"/>
    <w:rsid w:val="0042563A"/>
    <w:rsid w:val="00426537"/>
    <w:rsid w:val="00427F03"/>
    <w:rsid w:val="004309D9"/>
    <w:rsid w:val="0043270C"/>
    <w:rsid w:val="00434EDB"/>
    <w:rsid w:val="00435A79"/>
    <w:rsid w:val="00436859"/>
    <w:rsid w:val="004369E5"/>
    <w:rsid w:val="00441420"/>
    <w:rsid w:val="0044247C"/>
    <w:rsid w:val="004447C0"/>
    <w:rsid w:val="0044730A"/>
    <w:rsid w:val="004543FD"/>
    <w:rsid w:val="00454526"/>
    <w:rsid w:val="00455A40"/>
    <w:rsid w:val="004600E9"/>
    <w:rsid w:val="00460116"/>
    <w:rsid w:val="00464BC8"/>
    <w:rsid w:val="00464C4D"/>
    <w:rsid w:val="0046642D"/>
    <w:rsid w:val="00470E96"/>
    <w:rsid w:val="0047397F"/>
    <w:rsid w:val="00473DF5"/>
    <w:rsid w:val="00473FA6"/>
    <w:rsid w:val="004744B8"/>
    <w:rsid w:val="004768F3"/>
    <w:rsid w:val="00476C7A"/>
    <w:rsid w:val="004770F1"/>
    <w:rsid w:val="00480294"/>
    <w:rsid w:val="00480A97"/>
    <w:rsid w:val="00481C05"/>
    <w:rsid w:val="00485B23"/>
    <w:rsid w:val="00491A49"/>
    <w:rsid w:val="00491F40"/>
    <w:rsid w:val="004951DD"/>
    <w:rsid w:val="004A0DAE"/>
    <w:rsid w:val="004A3151"/>
    <w:rsid w:val="004A73D0"/>
    <w:rsid w:val="004B07EF"/>
    <w:rsid w:val="004B5876"/>
    <w:rsid w:val="004B721E"/>
    <w:rsid w:val="004B7230"/>
    <w:rsid w:val="004B7A7E"/>
    <w:rsid w:val="004C05DF"/>
    <w:rsid w:val="004C1930"/>
    <w:rsid w:val="004C210D"/>
    <w:rsid w:val="004C32AE"/>
    <w:rsid w:val="004C35BF"/>
    <w:rsid w:val="004C7643"/>
    <w:rsid w:val="004D3409"/>
    <w:rsid w:val="004D3520"/>
    <w:rsid w:val="004D46CB"/>
    <w:rsid w:val="004D788E"/>
    <w:rsid w:val="004D7C06"/>
    <w:rsid w:val="004E0CD3"/>
    <w:rsid w:val="004E454B"/>
    <w:rsid w:val="004E47FA"/>
    <w:rsid w:val="004E51E6"/>
    <w:rsid w:val="004F22E2"/>
    <w:rsid w:val="004F5394"/>
    <w:rsid w:val="004F5AC4"/>
    <w:rsid w:val="004F5FEA"/>
    <w:rsid w:val="00500D4D"/>
    <w:rsid w:val="005016E6"/>
    <w:rsid w:val="0050210D"/>
    <w:rsid w:val="005028F8"/>
    <w:rsid w:val="00503375"/>
    <w:rsid w:val="005034A0"/>
    <w:rsid w:val="00503CD5"/>
    <w:rsid w:val="00504A9F"/>
    <w:rsid w:val="00504D7C"/>
    <w:rsid w:val="0050653F"/>
    <w:rsid w:val="00507BCE"/>
    <w:rsid w:val="0051171F"/>
    <w:rsid w:val="00511BB8"/>
    <w:rsid w:val="005150D9"/>
    <w:rsid w:val="00524A29"/>
    <w:rsid w:val="0053475E"/>
    <w:rsid w:val="00534EE6"/>
    <w:rsid w:val="005352B3"/>
    <w:rsid w:val="00535D9D"/>
    <w:rsid w:val="0054427E"/>
    <w:rsid w:val="00545107"/>
    <w:rsid w:val="0054676B"/>
    <w:rsid w:val="00546EAF"/>
    <w:rsid w:val="00550485"/>
    <w:rsid w:val="00552EDF"/>
    <w:rsid w:val="00554017"/>
    <w:rsid w:val="005574CF"/>
    <w:rsid w:val="005608DF"/>
    <w:rsid w:val="00563C81"/>
    <w:rsid w:val="005715F4"/>
    <w:rsid w:val="00573A6B"/>
    <w:rsid w:val="005809B6"/>
    <w:rsid w:val="00581ABE"/>
    <w:rsid w:val="00586303"/>
    <w:rsid w:val="005906D0"/>
    <w:rsid w:val="00591AFF"/>
    <w:rsid w:val="005949A6"/>
    <w:rsid w:val="005A10CC"/>
    <w:rsid w:val="005A180B"/>
    <w:rsid w:val="005A1AF4"/>
    <w:rsid w:val="005A1BFA"/>
    <w:rsid w:val="005A4DDD"/>
    <w:rsid w:val="005B380A"/>
    <w:rsid w:val="005B3B6E"/>
    <w:rsid w:val="005B4692"/>
    <w:rsid w:val="005B5385"/>
    <w:rsid w:val="005B64AC"/>
    <w:rsid w:val="005B6787"/>
    <w:rsid w:val="005C015F"/>
    <w:rsid w:val="005C0FD4"/>
    <w:rsid w:val="005C100D"/>
    <w:rsid w:val="005C5111"/>
    <w:rsid w:val="005E50D9"/>
    <w:rsid w:val="005F35B3"/>
    <w:rsid w:val="005F3D23"/>
    <w:rsid w:val="00600164"/>
    <w:rsid w:val="0060045A"/>
    <w:rsid w:val="006070D6"/>
    <w:rsid w:val="0061032F"/>
    <w:rsid w:val="00611183"/>
    <w:rsid w:val="006117D4"/>
    <w:rsid w:val="00616805"/>
    <w:rsid w:val="006207C9"/>
    <w:rsid w:val="006239E3"/>
    <w:rsid w:val="00625F74"/>
    <w:rsid w:val="00633022"/>
    <w:rsid w:val="006362FA"/>
    <w:rsid w:val="006408AE"/>
    <w:rsid w:val="006427E5"/>
    <w:rsid w:val="00646602"/>
    <w:rsid w:val="00651292"/>
    <w:rsid w:val="00651CF4"/>
    <w:rsid w:val="0065345E"/>
    <w:rsid w:val="0065358F"/>
    <w:rsid w:val="00653B17"/>
    <w:rsid w:val="00656342"/>
    <w:rsid w:val="00656373"/>
    <w:rsid w:val="00661D4D"/>
    <w:rsid w:val="00662089"/>
    <w:rsid w:val="006652E2"/>
    <w:rsid w:val="006706C3"/>
    <w:rsid w:val="006707F3"/>
    <w:rsid w:val="00671787"/>
    <w:rsid w:val="006726F1"/>
    <w:rsid w:val="00673242"/>
    <w:rsid w:val="00673602"/>
    <w:rsid w:val="00677EC3"/>
    <w:rsid w:val="006806AC"/>
    <w:rsid w:val="006817D9"/>
    <w:rsid w:val="00681870"/>
    <w:rsid w:val="006866DA"/>
    <w:rsid w:val="0068762C"/>
    <w:rsid w:val="006918EE"/>
    <w:rsid w:val="00691AD5"/>
    <w:rsid w:val="00695311"/>
    <w:rsid w:val="00696CDE"/>
    <w:rsid w:val="006A23E4"/>
    <w:rsid w:val="006A27C7"/>
    <w:rsid w:val="006A3E4A"/>
    <w:rsid w:val="006A53A7"/>
    <w:rsid w:val="006A7026"/>
    <w:rsid w:val="006A7386"/>
    <w:rsid w:val="006B139F"/>
    <w:rsid w:val="006B2604"/>
    <w:rsid w:val="006B2921"/>
    <w:rsid w:val="006B68A3"/>
    <w:rsid w:val="006C2AD4"/>
    <w:rsid w:val="006C4150"/>
    <w:rsid w:val="006C4398"/>
    <w:rsid w:val="006C5A63"/>
    <w:rsid w:val="006C7F5D"/>
    <w:rsid w:val="006D3CF1"/>
    <w:rsid w:val="006D5C30"/>
    <w:rsid w:val="006D7DD5"/>
    <w:rsid w:val="006E02A6"/>
    <w:rsid w:val="006E02B0"/>
    <w:rsid w:val="006E1064"/>
    <w:rsid w:val="006E190E"/>
    <w:rsid w:val="006E1F5D"/>
    <w:rsid w:val="006E37CE"/>
    <w:rsid w:val="006E51CF"/>
    <w:rsid w:val="006F24E3"/>
    <w:rsid w:val="006F2FCF"/>
    <w:rsid w:val="006F3D88"/>
    <w:rsid w:val="006F3E58"/>
    <w:rsid w:val="006F4697"/>
    <w:rsid w:val="007009B3"/>
    <w:rsid w:val="00701CDE"/>
    <w:rsid w:val="00701EA6"/>
    <w:rsid w:val="00702795"/>
    <w:rsid w:val="0070527D"/>
    <w:rsid w:val="00706284"/>
    <w:rsid w:val="00706E03"/>
    <w:rsid w:val="007103CB"/>
    <w:rsid w:val="00711DEA"/>
    <w:rsid w:val="00713921"/>
    <w:rsid w:val="00714211"/>
    <w:rsid w:val="00714DF6"/>
    <w:rsid w:val="007220A6"/>
    <w:rsid w:val="007226B5"/>
    <w:rsid w:val="00723491"/>
    <w:rsid w:val="00723984"/>
    <w:rsid w:val="00727D91"/>
    <w:rsid w:val="0073111A"/>
    <w:rsid w:val="00735013"/>
    <w:rsid w:val="00736DDF"/>
    <w:rsid w:val="00741AFC"/>
    <w:rsid w:val="00753D40"/>
    <w:rsid w:val="00756752"/>
    <w:rsid w:val="00760599"/>
    <w:rsid w:val="00760DC6"/>
    <w:rsid w:val="00760E98"/>
    <w:rsid w:val="00764BBB"/>
    <w:rsid w:val="0076622E"/>
    <w:rsid w:val="007672A6"/>
    <w:rsid w:val="00770B91"/>
    <w:rsid w:val="00771BDD"/>
    <w:rsid w:val="0077315C"/>
    <w:rsid w:val="007741F8"/>
    <w:rsid w:val="00774E4C"/>
    <w:rsid w:val="00775F8B"/>
    <w:rsid w:val="007803F9"/>
    <w:rsid w:val="00781866"/>
    <w:rsid w:val="00781C8E"/>
    <w:rsid w:val="007825CE"/>
    <w:rsid w:val="00784388"/>
    <w:rsid w:val="0078537D"/>
    <w:rsid w:val="00785A36"/>
    <w:rsid w:val="00790879"/>
    <w:rsid w:val="00790C69"/>
    <w:rsid w:val="007913C9"/>
    <w:rsid w:val="00792195"/>
    <w:rsid w:val="00792CFB"/>
    <w:rsid w:val="00794752"/>
    <w:rsid w:val="007973F9"/>
    <w:rsid w:val="007979A2"/>
    <w:rsid w:val="007A0718"/>
    <w:rsid w:val="007A0A14"/>
    <w:rsid w:val="007A214C"/>
    <w:rsid w:val="007A2FCF"/>
    <w:rsid w:val="007A597B"/>
    <w:rsid w:val="007A7413"/>
    <w:rsid w:val="007A77CD"/>
    <w:rsid w:val="007A7AFA"/>
    <w:rsid w:val="007B0A79"/>
    <w:rsid w:val="007B2CC7"/>
    <w:rsid w:val="007B5FB8"/>
    <w:rsid w:val="007C031D"/>
    <w:rsid w:val="007C1CEB"/>
    <w:rsid w:val="007C3C2B"/>
    <w:rsid w:val="007D13FD"/>
    <w:rsid w:val="007D43A0"/>
    <w:rsid w:val="007D7609"/>
    <w:rsid w:val="007D77E6"/>
    <w:rsid w:val="007E60E8"/>
    <w:rsid w:val="007E7321"/>
    <w:rsid w:val="007F26D0"/>
    <w:rsid w:val="00801D64"/>
    <w:rsid w:val="0080219F"/>
    <w:rsid w:val="008023E9"/>
    <w:rsid w:val="0080461F"/>
    <w:rsid w:val="008110C3"/>
    <w:rsid w:val="00813E24"/>
    <w:rsid w:val="00815BC1"/>
    <w:rsid w:val="0082191A"/>
    <w:rsid w:val="00824113"/>
    <w:rsid w:val="00827071"/>
    <w:rsid w:val="0082786F"/>
    <w:rsid w:val="0083057E"/>
    <w:rsid w:val="00830751"/>
    <w:rsid w:val="0083122F"/>
    <w:rsid w:val="00835172"/>
    <w:rsid w:val="008352B1"/>
    <w:rsid w:val="0084180C"/>
    <w:rsid w:val="0084324D"/>
    <w:rsid w:val="00846297"/>
    <w:rsid w:val="00850BA6"/>
    <w:rsid w:val="00851FB7"/>
    <w:rsid w:val="00852329"/>
    <w:rsid w:val="0085679E"/>
    <w:rsid w:val="00857B0A"/>
    <w:rsid w:val="00862A57"/>
    <w:rsid w:val="00864FF3"/>
    <w:rsid w:val="00865BD1"/>
    <w:rsid w:val="00866C8C"/>
    <w:rsid w:val="008672C2"/>
    <w:rsid w:val="00867B1E"/>
    <w:rsid w:val="00870D7F"/>
    <w:rsid w:val="008714D8"/>
    <w:rsid w:val="0087188B"/>
    <w:rsid w:val="008734ED"/>
    <w:rsid w:val="0088059B"/>
    <w:rsid w:val="00884273"/>
    <w:rsid w:val="008937E8"/>
    <w:rsid w:val="00894182"/>
    <w:rsid w:val="008A0DB2"/>
    <w:rsid w:val="008A4661"/>
    <w:rsid w:val="008A526F"/>
    <w:rsid w:val="008B07D5"/>
    <w:rsid w:val="008B0852"/>
    <w:rsid w:val="008B3B87"/>
    <w:rsid w:val="008B4E0F"/>
    <w:rsid w:val="008B5B3C"/>
    <w:rsid w:val="008B75AA"/>
    <w:rsid w:val="008C0AAB"/>
    <w:rsid w:val="008C708C"/>
    <w:rsid w:val="008C7350"/>
    <w:rsid w:val="008D2DB8"/>
    <w:rsid w:val="008D471E"/>
    <w:rsid w:val="008D6904"/>
    <w:rsid w:val="008D7669"/>
    <w:rsid w:val="008E272C"/>
    <w:rsid w:val="008E2D3B"/>
    <w:rsid w:val="008E3D76"/>
    <w:rsid w:val="008E5BE1"/>
    <w:rsid w:val="008E5CAF"/>
    <w:rsid w:val="008F0925"/>
    <w:rsid w:val="008F1CCA"/>
    <w:rsid w:val="008F4B41"/>
    <w:rsid w:val="008F681B"/>
    <w:rsid w:val="008F79FE"/>
    <w:rsid w:val="008F7CA6"/>
    <w:rsid w:val="00901851"/>
    <w:rsid w:val="0090203A"/>
    <w:rsid w:val="00902B06"/>
    <w:rsid w:val="00906D40"/>
    <w:rsid w:val="00915A30"/>
    <w:rsid w:val="009257D2"/>
    <w:rsid w:val="00926E81"/>
    <w:rsid w:val="00927898"/>
    <w:rsid w:val="009379AD"/>
    <w:rsid w:val="0094245B"/>
    <w:rsid w:val="0094314E"/>
    <w:rsid w:val="009464F3"/>
    <w:rsid w:val="00946A82"/>
    <w:rsid w:val="009477FD"/>
    <w:rsid w:val="0095264F"/>
    <w:rsid w:val="00953F39"/>
    <w:rsid w:val="00956C00"/>
    <w:rsid w:val="00956D4B"/>
    <w:rsid w:val="00961F53"/>
    <w:rsid w:val="00962B99"/>
    <w:rsid w:val="009636B4"/>
    <w:rsid w:val="009645C9"/>
    <w:rsid w:val="00964BED"/>
    <w:rsid w:val="00966A08"/>
    <w:rsid w:val="009717AE"/>
    <w:rsid w:val="00971EBB"/>
    <w:rsid w:val="0097405E"/>
    <w:rsid w:val="0098086E"/>
    <w:rsid w:val="00981853"/>
    <w:rsid w:val="00981F34"/>
    <w:rsid w:val="00982CB9"/>
    <w:rsid w:val="00984557"/>
    <w:rsid w:val="00987617"/>
    <w:rsid w:val="00987982"/>
    <w:rsid w:val="00990827"/>
    <w:rsid w:val="00990A7B"/>
    <w:rsid w:val="00991C93"/>
    <w:rsid w:val="009946EA"/>
    <w:rsid w:val="00997771"/>
    <w:rsid w:val="00997EDA"/>
    <w:rsid w:val="009A43DA"/>
    <w:rsid w:val="009A4E66"/>
    <w:rsid w:val="009A72A3"/>
    <w:rsid w:val="009A754A"/>
    <w:rsid w:val="009A7A16"/>
    <w:rsid w:val="009B07E0"/>
    <w:rsid w:val="009B2E1A"/>
    <w:rsid w:val="009B38CA"/>
    <w:rsid w:val="009C2D6D"/>
    <w:rsid w:val="009D0DC1"/>
    <w:rsid w:val="009D2996"/>
    <w:rsid w:val="009D3BD2"/>
    <w:rsid w:val="009D3D02"/>
    <w:rsid w:val="009D4BB2"/>
    <w:rsid w:val="009D7508"/>
    <w:rsid w:val="009D757D"/>
    <w:rsid w:val="009E0B84"/>
    <w:rsid w:val="009E0E41"/>
    <w:rsid w:val="009E1C32"/>
    <w:rsid w:val="009E3DF4"/>
    <w:rsid w:val="009F013D"/>
    <w:rsid w:val="009F2AC4"/>
    <w:rsid w:val="009F2ED1"/>
    <w:rsid w:val="009F4751"/>
    <w:rsid w:val="009F4A73"/>
    <w:rsid w:val="00A00392"/>
    <w:rsid w:val="00A0128E"/>
    <w:rsid w:val="00A026E1"/>
    <w:rsid w:val="00A03F1A"/>
    <w:rsid w:val="00A044AF"/>
    <w:rsid w:val="00A045F1"/>
    <w:rsid w:val="00A05EA8"/>
    <w:rsid w:val="00A06497"/>
    <w:rsid w:val="00A06739"/>
    <w:rsid w:val="00A13D7D"/>
    <w:rsid w:val="00A13DDC"/>
    <w:rsid w:val="00A14E33"/>
    <w:rsid w:val="00A14F27"/>
    <w:rsid w:val="00A15277"/>
    <w:rsid w:val="00A1546F"/>
    <w:rsid w:val="00A16CD1"/>
    <w:rsid w:val="00A22239"/>
    <w:rsid w:val="00A239C7"/>
    <w:rsid w:val="00A26F73"/>
    <w:rsid w:val="00A27518"/>
    <w:rsid w:val="00A276CF"/>
    <w:rsid w:val="00A27FC6"/>
    <w:rsid w:val="00A34ADE"/>
    <w:rsid w:val="00A40215"/>
    <w:rsid w:val="00A41788"/>
    <w:rsid w:val="00A42DFB"/>
    <w:rsid w:val="00A433A2"/>
    <w:rsid w:val="00A43FD4"/>
    <w:rsid w:val="00A462E4"/>
    <w:rsid w:val="00A47A24"/>
    <w:rsid w:val="00A511AF"/>
    <w:rsid w:val="00A51618"/>
    <w:rsid w:val="00A552B9"/>
    <w:rsid w:val="00A555B5"/>
    <w:rsid w:val="00A56159"/>
    <w:rsid w:val="00A57C3F"/>
    <w:rsid w:val="00A61ECE"/>
    <w:rsid w:val="00A62391"/>
    <w:rsid w:val="00A62B23"/>
    <w:rsid w:val="00A64F96"/>
    <w:rsid w:val="00A64FB9"/>
    <w:rsid w:val="00A66290"/>
    <w:rsid w:val="00A74737"/>
    <w:rsid w:val="00A824F6"/>
    <w:rsid w:val="00A82BF9"/>
    <w:rsid w:val="00A85465"/>
    <w:rsid w:val="00A85B40"/>
    <w:rsid w:val="00A87D5E"/>
    <w:rsid w:val="00A92A53"/>
    <w:rsid w:val="00A94110"/>
    <w:rsid w:val="00A9497F"/>
    <w:rsid w:val="00AA4C25"/>
    <w:rsid w:val="00AA7966"/>
    <w:rsid w:val="00AB2045"/>
    <w:rsid w:val="00AB3359"/>
    <w:rsid w:val="00AB3C3F"/>
    <w:rsid w:val="00AC1A6A"/>
    <w:rsid w:val="00AC2B51"/>
    <w:rsid w:val="00AC3E6A"/>
    <w:rsid w:val="00AC447F"/>
    <w:rsid w:val="00AC61BE"/>
    <w:rsid w:val="00AC699C"/>
    <w:rsid w:val="00AD01C3"/>
    <w:rsid w:val="00AD2801"/>
    <w:rsid w:val="00AD3536"/>
    <w:rsid w:val="00AD370D"/>
    <w:rsid w:val="00AD38A2"/>
    <w:rsid w:val="00AE09B0"/>
    <w:rsid w:val="00AE0E4F"/>
    <w:rsid w:val="00AE275E"/>
    <w:rsid w:val="00AE2A27"/>
    <w:rsid w:val="00AE618E"/>
    <w:rsid w:val="00AE7140"/>
    <w:rsid w:val="00AE74B1"/>
    <w:rsid w:val="00AE7AD1"/>
    <w:rsid w:val="00AF21D8"/>
    <w:rsid w:val="00AF2D0F"/>
    <w:rsid w:val="00AF48C6"/>
    <w:rsid w:val="00AF4A41"/>
    <w:rsid w:val="00AF7757"/>
    <w:rsid w:val="00B013C4"/>
    <w:rsid w:val="00B0430C"/>
    <w:rsid w:val="00B11DC0"/>
    <w:rsid w:val="00B12F2E"/>
    <w:rsid w:val="00B14D9A"/>
    <w:rsid w:val="00B16D30"/>
    <w:rsid w:val="00B17D3F"/>
    <w:rsid w:val="00B206A8"/>
    <w:rsid w:val="00B22F9E"/>
    <w:rsid w:val="00B23642"/>
    <w:rsid w:val="00B3007A"/>
    <w:rsid w:val="00B30C6A"/>
    <w:rsid w:val="00B34759"/>
    <w:rsid w:val="00B356FE"/>
    <w:rsid w:val="00B35908"/>
    <w:rsid w:val="00B41F5C"/>
    <w:rsid w:val="00B44EA4"/>
    <w:rsid w:val="00B50992"/>
    <w:rsid w:val="00B515C0"/>
    <w:rsid w:val="00B53F68"/>
    <w:rsid w:val="00B55AA5"/>
    <w:rsid w:val="00B57DF0"/>
    <w:rsid w:val="00B61B19"/>
    <w:rsid w:val="00B62A52"/>
    <w:rsid w:val="00B63987"/>
    <w:rsid w:val="00B670ED"/>
    <w:rsid w:val="00B6783E"/>
    <w:rsid w:val="00B70181"/>
    <w:rsid w:val="00B74454"/>
    <w:rsid w:val="00B74D84"/>
    <w:rsid w:val="00B760DD"/>
    <w:rsid w:val="00B84251"/>
    <w:rsid w:val="00B87615"/>
    <w:rsid w:val="00B912C2"/>
    <w:rsid w:val="00B91722"/>
    <w:rsid w:val="00B9309D"/>
    <w:rsid w:val="00B9339C"/>
    <w:rsid w:val="00B96139"/>
    <w:rsid w:val="00B9659E"/>
    <w:rsid w:val="00B96DC7"/>
    <w:rsid w:val="00BA28EE"/>
    <w:rsid w:val="00BA292D"/>
    <w:rsid w:val="00BA40F9"/>
    <w:rsid w:val="00BA5E48"/>
    <w:rsid w:val="00BA606A"/>
    <w:rsid w:val="00BA6AF6"/>
    <w:rsid w:val="00BB3BFC"/>
    <w:rsid w:val="00BB50A4"/>
    <w:rsid w:val="00BB547E"/>
    <w:rsid w:val="00BC053A"/>
    <w:rsid w:val="00BC1289"/>
    <w:rsid w:val="00BC2001"/>
    <w:rsid w:val="00BC383E"/>
    <w:rsid w:val="00BC38E2"/>
    <w:rsid w:val="00BC5A9F"/>
    <w:rsid w:val="00BC7576"/>
    <w:rsid w:val="00BD702B"/>
    <w:rsid w:val="00BD774C"/>
    <w:rsid w:val="00BE0956"/>
    <w:rsid w:val="00BE1E2A"/>
    <w:rsid w:val="00BE682F"/>
    <w:rsid w:val="00BE791A"/>
    <w:rsid w:val="00BF05DD"/>
    <w:rsid w:val="00BF1E73"/>
    <w:rsid w:val="00BF5AEC"/>
    <w:rsid w:val="00BF5BE3"/>
    <w:rsid w:val="00BF67E9"/>
    <w:rsid w:val="00BF70EE"/>
    <w:rsid w:val="00C01D2C"/>
    <w:rsid w:val="00C03678"/>
    <w:rsid w:val="00C03C38"/>
    <w:rsid w:val="00C11D2C"/>
    <w:rsid w:val="00C1389A"/>
    <w:rsid w:val="00C14B60"/>
    <w:rsid w:val="00C1578E"/>
    <w:rsid w:val="00C16C20"/>
    <w:rsid w:val="00C21AF4"/>
    <w:rsid w:val="00C22CA1"/>
    <w:rsid w:val="00C23BA8"/>
    <w:rsid w:val="00C2653E"/>
    <w:rsid w:val="00C267AA"/>
    <w:rsid w:val="00C35D12"/>
    <w:rsid w:val="00C40D18"/>
    <w:rsid w:val="00C4161B"/>
    <w:rsid w:val="00C44637"/>
    <w:rsid w:val="00C46094"/>
    <w:rsid w:val="00C51F05"/>
    <w:rsid w:val="00C526BB"/>
    <w:rsid w:val="00C526F2"/>
    <w:rsid w:val="00C563CE"/>
    <w:rsid w:val="00C574AC"/>
    <w:rsid w:val="00C60EB8"/>
    <w:rsid w:val="00C6338D"/>
    <w:rsid w:val="00C6537D"/>
    <w:rsid w:val="00C65B00"/>
    <w:rsid w:val="00C65DDA"/>
    <w:rsid w:val="00C728D8"/>
    <w:rsid w:val="00C77268"/>
    <w:rsid w:val="00C801CB"/>
    <w:rsid w:val="00C8153B"/>
    <w:rsid w:val="00C82D70"/>
    <w:rsid w:val="00C833EE"/>
    <w:rsid w:val="00C83BAC"/>
    <w:rsid w:val="00C909E4"/>
    <w:rsid w:val="00C922CF"/>
    <w:rsid w:val="00C955F1"/>
    <w:rsid w:val="00C955FA"/>
    <w:rsid w:val="00C96BB8"/>
    <w:rsid w:val="00CA22FB"/>
    <w:rsid w:val="00CA3CD0"/>
    <w:rsid w:val="00CA5A11"/>
    <w:rsid w:val="00CB1236"/>
    <w:rsid w:val="00CB1850"/>
    <w:rsid w:val="00CB2B0E"/>
    <w:rsid w:val="00CB2E93"/>
    <w:rsid w:val="00CB5D3C"/>
    <w:rsid w:val="00CB7673"/>
    <w:rsid w:val="00CB7756"/>
    <w:rsid w:val="00CC04BA"/>
    <w:rsid w:val="00CC1038"/>
    <w:rsid w:val="00CC10E8"/>
    <w:rsid w:val="00CC356F"/>
    <w:rsid w:val="00CC45A3"/>
    <w:rsid w:val="00CC7489"/>
    <w:rsid w:val="00CD3FB5"/>
    <w:rsid w:val="00CD43BD"/>
    <w:rsid w:val="00CD7B70"/>
    <w:rsid w:val="00CE527A"/>
    <w:rsid w:val="00CE55D6"/>
    <w:rsid w:val="00CE611E"/>
    <w:rsid w:val="00CE6F2B"/>
    <w:rsid w:val="00CE7295"/>
    <w:rsid w:val="00CE7EF2"/>
    <w:rsid w:val="00CF26FD"/>
    <w:rsid w:val="00CF2843"/>
    <w:rsid w:val="00CF3485"/>
    <w:rsid w:val="00CF479C"/>
    <w:rsid w:val="00CF55D2"/>
    <w:rsid w:val="00D00BFE"/>
    <w:rsid w:val="00D023EF"/>
    <w:rsid w:val="00D044F6"/>
    <w:rsid w:val="00D04536"/>
    <w:rsid w:val="00D04E9D"/>
    <w:rsid w:val="00D11040"/>
    <w:rsid w:val="00D11898"/>
    <w:rsid w:val="00D11A7C"/>
    <w:rsid w:val="00D127BD"/>
    <w:rsid w:val="00D1323B"/>
    <w:rsid w:val="00D13500"/>
    <w:rsid w:val="00D17AC9"/>
    <w:rsid w:val="00D17AE1"/>
    <w:rsid w:val="00D21176"/>
    <w:rsid w:val="00D23F51"/>
    <w:rsid w:val="00D25ED4"/>
    <w:rsid w:val="00D27F9E"/>
    <w:rsid w:val="00D335F8"/>
    <w:rsid w:val="00D3494F"/>
    <w:rsid w:val="00D35EF5"/>
    <w:rsid w:val="00D360A9"/>
    <w:rsid w:val="00D370A4"/>
    <w:rsid w:val="00D37A8E"/>
    <w:rsid w:val="00D41BFD"/>
    <w:rsid w:val="00D42814"/>
    <w:rsid w:val="00D43F8A"/>
    <w:rsid w:val="00D4450B"/>
    <w:rsid w:val="00D45A47"/>
    <w:rsid w:val="00D45E87"/>
    <w:rsid w:val="00D51A2A"/>
    <w:rsid w:val="00D51AB7"/>
    <w:rsid w:val="00D608DA"/>
    <w:rsid w:val="00D63AC0"/>
    <w:rsid w:val="00D710C9"/>
    <w:rsid w:val="00D71A0B"/>
    <w:rsid w:val="00D72A3B"/>
    <w:rsid w:val="00D74145"/>
    <w:rsid w:val="00D802E1"/>
    <w:rsid w:val="00D8047A"/>
    <w:rsid w:val="00D84FC0"/>
    <w:rsid w:val="00D85B8B"/>
    <w:rsid w:val="00D93B32"/>
    <w:rsid w:val="00D94987"/>
    <w:rsid w:val="00D97BBB"/>
    <w:rsid w:val="00DA428B"/>
    <w:rsid w:val="00DB03C1"/>
    <w:rsid w:val="00DB3717"/>
    <w:rsid w:val="00DB4433"/>
    <w:rsid w:val="00DB479F"/>
    <w:rsid w:val="00DB6A5C"/>
    <w:rsid w:val="00DC0112"/>
    <w:rsid w:val="00DC10C5"/>
    <w:rsid w:val="00DC1199"/>
    <w:rsid w:val="00DC4097"/>
    <w:rsid w:val="00DC4E6A"/>
    <w:rsid w:val="00DC5155"/>
    <w:rsid w:val="00DC5972"/>
    <w:rsid w:val="00DD09FD"/>
    <w:rsid w:val="00DD25E4"/>
    <w:rsid w:val="00DD5A70"/>
    <w:rsid w:val="00DE22E5"/>
    <w:rsid w:val="00DE296E"/>
    <w:rsid w:val="00DE2E78"/>
    <w:rsid w:val="00DE6C2B"/>
    <w:rsid w:val="00DE7F8B"/>
    <w:rsid w:val="00DF05FD"/>
    <w:rsid w:val="00DF6F61"/>
    <w:rsid w:val="00E01573"/>
    <w:rsid w:val="00E02247"/>
    <w:rsid w:val="00E050C0"/>
    <w:rsid w:val="00E05DCC"/>
    <w:rsid w:val="00E072F0"/>
    <w:rsid w:val="00E07752"/>
    <w:rsid w:val="00E079B6"/>
    <w:rsid w:val="00E10E19"/>
    <w:rsid w:val="00E11ADE"/>
    <w:rsid w:val="00E12A6F"/>
    <w:rsid w:val="00E12C79"/>
    <w:rsid w:val="00E1345F"/>
    <w:rsid w:val="00E14008"/>
    <w:rsid w:val="00E14CAE"/>
    <w:rsid w:val="00E1551D"/>
    <w:rsid w:val="00E1574A"/>
    <w:rsid w:val="00E2016F"/>
    <w:rsid w:val="00E31512"/>
    <w:rsid w:val="00E32C0A"/>
    <w:rsid w:val="00E33C36"/>
    <w:rsid w:val="00E34EBB"/>
    <w:rsid w:val="00E36DEE"/>
    <w:rsid w:val="00E37327"/>
    <w:rsid w:val="00E37595"/>
    <w:rsid w:val="00E4112A"/>
    <w:rsid w:val="00E43E6A"/>
    <w:rsid w:val="00E504F3"/>
    <w:rsid w:val="00E52EA7"/>
    <w:rsid w:val="00E54B55"/>
    <w:rsid w:val="00E569EC"/>
    <w:rsid w:val="00E56FF3"/>
    <w:rsid w:val="00E709F0"/>
    <w:rsid w:val="00E76DD1"/>
    <w:rsid w:val="00E80729"/>
    <w:rsid w:val="00E822E5"/>
    <w:rsid w:val="00E8448F"/>
    <w:rsid w:val="00E8669E"/>
    <w:rsid w:val="00E87187"/>
    <w:rsid w:val="00EA021F"/>
    <w:rsid w:val="00EA14FA"/>
    <w:rsid w:val="00EB4DB5"/>
    <w:rsid w:val="00EB5A7C"/>
    <w:rsid w:val="00EB5B17"/>
    <w:rsid w:val="00EC7151"/>
    <w:rsid w:val="00EC7255"/>
    <w:rsid w:val="00ED00CD"/>
    <w:rsid w:val="00ED119C"/>
    <w:rsid w:val="00ED43AB"/>
    <w:rsid w:val="00ED4900"/>
    <w:rsid w:val="00ED498E"/>
    <w:rsid w:val="00EE1C40"/>
    <w:rsid w:val="00EE273A"/>
    <w:rsid w:val="00EE3559"/>
    <w:rsid w:val="00EE3D91"/>
    <w:rsid w:val="00EE5F1D"/>
    <w:rsid w:val="00EE6D42"/>
    <w:rsid w:val="00EF4B1D"/>
    <w:rsid w:val="00EF6C00"/>
    <w:rsid w:val="00EF6E08"/>
    <w:rsid w:val="00EF7A8C"/>
    <w:rsid w:val="00EF7C25"/>
    <w:rsid w:val="00F01405"/>
    <w:rsid w:val="00F0160B"/>
    <w:rsid w:val="00F02C4D"/>
    <w:rsid w:val="00F03994"/>
    <w:rsid w:val="00F04C44"/>
    <w:rsid w:val="00F127AF"/>
    <w:rsid w:val="00F13578"/>
    <w:rsid w:val="00F166A6"/>
    <w:rsid w:val="00F24334"/>
    <w:rsid w:val="00F24395"/>
    <w:rsid w:val="00F257CC"/>
    <w:rsid w:val="00F27A5A"/>
    <w:rsid w:val="00F30DB2"/>
    <w:rsid w:val="00F33711"/>
    <w:rsid w:val="00F33AD7"/>
    <w:rsid w:val="00F33DA2"/>
    <w:rsid w:val="00F346CC"/>
    <w:rsid w:val="00F35C33"/>
    <w:rsid w:val="00F4125F"/>
    <w:rsid w:val="00F45879"/>
    <w:rsid w:val="00F45FFB"/>
    <w:rsid w:val="00F50840"/>
    <w:rsid w:val="00F50844"/>
    <w:rsid w:val="00F55FAB"/>
    <w:rsid w:val="00F604EE"/>
    <w:rsid w:val="00F60941"/>
    <w:rsid w:val="00F66312"/>
    <w:rsid w:val="00F72717"/>
    <w:rsid w:val="00F72A7F"/>
    <w:rsid w:val="00F72BA5"/>
    <w:rsid w:val="00F745B4"/>
    <w:rsid w:val="00F74709"/>
    <w:rsid w:val="00F7564A"/>
    <w:rsid w:val="00F81918"/>
    <w:rsid w:val="00F85B1F"/>
    <w:rsid w:val="00F94DD6"/>
    <w:rsid w:val="00FA05CD"/>
    <w:rsid w:val="00FA08F7"/>
    <w:rsid w:val="00FA24C2"/>
    <w:rsid w:val="00FA6FD4"/>
    <w:rsid w:val="00FA705D"/>
    <w:rsid w:val="00FA7F73"/>
    <w:rsid w:val="00FB3054"/>
    <w:rsid w:val="00FB373B"/>
    <w:rsid w:val="00FB5FFD"/>
    <w:rsid w:val="00FB7B52"/>
    <w:rsid w:val="00FC0124"/>
    <w:rsid w:val="00FC098B"/>
    <w:rsid w:val="00FC1168"/>
    <w:rsid w:val="00FC2DB1"/>
    <w:rsid w:val="00FC3447"/>
    <w:rsid w:val="00FC516F"/>
    <w:rsid w:val="00FC70F6"/>
    <w:rsid w:val="00FD4621"/>
    <w:rsid w:val="00FD5FD2"/>
    <w:rsid w:val="00FD7689"/>
    <w:rsid w:val="00FD7FCE"/>
    <w:rsid w:val="00FE0453"/>
    <w:rsid w:val="00FE249A"/>
    <w:rsid w:val="00FE26FF"/>
    <w:rsid w:val="00FE37F3"/>
    <w:rsid w:val="00FE39B0"/>
    <w:rsid w:val="00FE4DC8"/>
    <w:rsid w:val="00FE5DAD"/>
    <w:rsid w:val="00FE6CB0"/>
    <w:rsid w:val="00FF2195"/>
    <w:rsid w:val="00FF4629"/>
    <w:rsid w:val="00FF56A9"/>
    <w:rsid w:val="00FF76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8421"/>
    <o:shapelayout v:ext="edit">
      <o:idmap v:ext="edit" data="1"/>
    </o:shapelayout>
  </w:shapeDefaults>
  <w:decimalSymbol w:val="."/>
  <w:listSeparator w:val=","/>
  <w14:docId w14:val="667E327B"/>
  <w15:docId w15:val="{C7D3F1F0-A036-4BF2-A2E2-3F22D77C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6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character" w:styleId="CommentReference">
    <w:name w:val="annotation reference"/>
    <w:basedOn w:val="DefaultParagraphFont"/>
    <w:uiPriority w:val="99"/>
    <w:semiHidden/>
    <w:unhideWhenUsed/>
    <w:rsid w:val="005150D9"/>
    <w:rPr>
      <w:sz w:val="16"/>
      <w:szCs w:val="16"/>
    </w:rPr>
  </w:style>
  <w:style w:type="paragraph" w:styleId="CommentText">
    <w:name w:val="annotation text"/>
    <w:basedOn w:val="Normal"/>
    <w:link w:val="CommentTextChar"/>
    <w:uiPriority w:val="99"/>
    <w:unhideWhenUsed/>
    <w:rsid w:val="005150D9"/>
    <w:pPr>
      <w:spacing w:line="240" w:lineRule="auto"/>
    </w:pPr>
    <w:rPr>
      <w:sz w:val="20"/>
      <w:szCs w:val="20"/>
    </w:rPr>
  </w:style>
  <w:style w:type="character" w:customStyle="1" w:styleId="CommentTextChar">
    <w:name w:val="Comment Text Char"/>
    <w:basedOn w:val="DefaultParagraphFont"/>
    <w:link w:val="CommentText"/>
    <w:uiPriority w:val="99"/>
    <w:rsid w:val="005150D9"/>
    <w:rPr>
      <w:sz w:val="20"/>
      <w:szCs w:val="20"/>
    </w:rPr>
  </w:style>
  <w:style w:type="paragraph" w:styleId="CommentSubject">
    <w:name w:val="annotation subject"/>
    <w:basedOn w:val="CommentText"/>
    <w:next w:val="CommentText"/>
    <w:link w:val="CommentSubjectChar"/>
    <w:uiPriority w:val="99"/>
    <w:semiHidden/>
    <w:unhideWhenUsed/>
    <w:rsid w:val="005150D9"/>
    <w:rPr>
      <w:b/>
      <w:bCs/>
    </w:rPr>
  </w:style>
  <w:style w:type="character" w:customStyle="1" w:styleId="CommentSubjectChar">
    <w:name w:val="Comment Subject Char"/>
    <w:basedOn w:val="CommentTextChar"/>
    <w:link w:val="CommentSubject"/>
    <w:uiPriority w:val="99"/>
    <w:semiHidden/>
    <w:rsid w:val="005150D9"/>
    <w:rPr>
      <w:b/>
      <w:bCs/>
      <w:sz w:val="20"/>
      <w:szCs w:val="20"/>
    </w:rPr>
  </w:style>
  <w:style w:type="paragraph" w:styleId="FootnoteText">
    <w:name w:val="footnote text"/>
    <w:basedOn w:val="Normal"/>
    <w:link w:val="FootnoteTextChar"/>
    <w:uiPriority w:val="99"/>
    <w:semiHidden/>
    <w:unhideWhenUsed/>
    <w:rsid w:val="00EE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C40"/>
    <w:rPr>
      <w:sz w:val="20"/>
      <w:szCs w:val="20"/>
    </w:rPr>
  </w:style>
  <w:style w:type="character" w:styleId="FootnoteReference">
    <w:name w:val="footnote reference"/>
    <w:basedOn w:val="DefaultParagraphFont"/>
    <w:uiPriority w:val="99"/>
    <w:semiHidden/>
    <w:unhideWhenUsed/>
    <w:rsid w:val="00EE1C40"/>
    <w:rPr>
      <w:vertAlign w:val="superscript"/>
    </w:rPr>
  </w:style>
  <w:style w:type="character" w:styleId="Hyperlink">
    <w:name w:val="Hyperlink"/>
    <w:basedOn w:val="DefaultParagraphFont"/>
    <w:uiPriority w:val="99"/>
    <w:unhideWhenUsed/>
    <w:rsid w:val="00EE1C40"/>
    <w:rPr>
      <w:color w:val="0000FF" w:themeColor="hyperlink"/>
      <w:u w:val="single"/>
    </w:rPr>
  </w:style>
  <w:style w:type="character" w:customStyle="1" w:styleId="UnresolvedMention1">
    <w:name w:val="Unresolved Mention1"/>
    <w:basedOn w:val="DefaultParagraphFont"/>
    <w:uiPriority w:val="99"/>
    <w:semiHidden/>
    <w:unhideWhenUsed/>
    <w:rsid w:val="00EE1C40"/>
    <w:rPr>
      <w:color w:val="605E5C"/>
      <w:shd w:val="clear" w:color="auto" w:fill="E1DFDD"/>
    </w:rPr>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Párrafo de lista,Body Texte"/>
    <w:basedOn w:val="Normal"/>
    <w:link w:val="ListParagraphChar"/>
    <w:uiPriority w:val="34"/>
    <w:qFormat/>
    <w:rsid w:val="00E87187"/>
    <w:pPr>
      <w:spacing w:line="240" w:lineRule="auto"/>
      <w:ind w:left="720"/>
      <w:contextualSpacing/>
    </w:pPr>
    <w:rPr>
      <w:rFonts w:ascii="Arial" w:hAnsi="Arial"/>
    </w:rPr>
  </w:style>
  <w:style w:type="character" w:styleId="UnresolvedMention">
    <w:name w:val="Unresolved Mention"/>
    <w:basedOn w:val="DefaultParagraphFont"/>
    <w:uiPriority w:val="99"/>
    <w:semiHidden/>
    <w:unhideWhenUsed/>
    <w:rsid w:val="00D72A3B"/>
    <w:rPr>
      <w:color w:val="605E5C"/>
      <w:shd w:val="clear" w:color="auto" w:fill="E1DFDD"/>
    </w:rPr>
  </w:style>
  <w:style w:type="paragraph" w:styleId="NormalWeb">
    <w:name w:val="Normal (Web)"/>
    <w:basedOn w:val="Normal"/>
    <w:uiPriority w:val="99"/>
    <w:unhideWhenUsed/>
    <w:rsid w:val="00B509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Instructions">
    <w:name w:val="Body Text Instructions"/>
    <w:basedOn w:val="BodyText"/>
    <w:rsid w:val="003C1FC0"/>
    <w:pPr>
      <w:spacing w:after="180" w:line="240" w:lineRule="auto"/>
    </w:pPr>
    <w:rPr>
      <w:rFonts w:ascii="Garamond" w:eastAsia="Times" w:hAnsi="Garamond" w:cs="Times New Roman"/>
      <w:szCs w:val="20"/>
      <w:lang w:val="en-US"/>
    </w:rPr>
  </w:style>
  <w:style w:type="paragraph" w:styleId="BodyText">
    <w:name w:val="Body Text"/>
    <w:basedOn w:val="Normal"/>
    <w:link w:val="BodyTextChar"/>
    <w:uiPriority w:val="99"/>
    <w:semiHidden/>
    <w:unhideWhenUsed/>
    <w:rsid w:val="003C1FC0"/>
    <w:pPr>
      <w:spacing w:after="120"/>
    </w:pPr>
  </w:style>
  <w:style w:type="character" w:customStyle="1" w:styleId="BodyTextChar">
    <w:name w:val="Body Text Char"/>
    <w:basedOn w:val="DefaultParagraphFont"/>
    <w:link w:val="BodyText"/>
    <w:uiPriority w:val="99"/>
    <w:semiHidden/>
    <w:rsid w:val="003C1FC0"/>
  </w:style>
  <w:style w:type="character" w:customStyle="1" w:styleId="Heading1Char">
    <w:name w:val="Heading 1 Char"/>
    <w:basedOn w:val="DefaultParagraphFont"/>
    <w:link w:val="Heading1"/>
    <w:uiPriority w:val="9"/>
    <w:rsid w:val="005B4692"/>
    <w:rPr>
      <w:rFonts w:asciiTheme="majorHAnsi" w:eastAsiaTheme="majorEastAsia" w:hAnsiTheme="majorHAnsi" w:cstheme="majorBidi"/>
      <w:color w:val="365F91" w:themeColor="accent1" w:themeShade="BF"/>
      <w:sz w:val="32"/>
      <w:szCs w:val="32"/>
    </w:rPr>
  </w:style>
  <w:style w:type="paragraph" w:customStyle="1" w:styleId="Default">
    <w:name w:val="Default"/>
    <w:rsid w:val="00711DE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B53F68"/>
    <w:rPr>
      <w:rFonts w:ascii="Arial" w:hAnsi="Arial"/>
    </w:rPr>
  </w:style>
  <w:style w:type="character" w:styleId="FollowedHyperlink">
    <w:name w:val="FollowedHyperlink"/>
    <w:basedOn w:val="DefaultParagraphFont"/>
    <w:uiPriority w:val="99"/>
    <w:semiHidden/>
    <w:unhideWhenUsed/>
    <w:rsid w:val="00953F39"/>
    <w:rPr>
      <w:color w:val="800080" w:themeColor="followedHyperlink"/>
      <w:u w:val="single"/>
    </w:rPr>
  </w:style>
  <w:style w:type="paragraph" w:styleId="Revision">
    <w:name w:val="Revision"/>
    <w:hidden/>
    <w:uiPriority w:val="99"/>
    <w:semiHidden/>
    <w:rsid w:val="00C909E4"/>
    <w:pPr>
      <w:spacing w:after="0" w:line="240" w:lineRule="auto"/>
    </w:pPr>
  </w:style>
  <w:style w:type="paragraph" w:customStyle="1" w:styleId="pf0">
    <w:name w:val="pf0"/>
    <w:basedOn w:val="Normal"/>
    <w:rsid w:val="00500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00D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462">
      <w:bodyDiv w:val="1"/>
      <w:marLeft w:val="0"/>
      <w:marRight w:val="0"/>
      <w:marTop w:val="0"/>
      <w:marBottom w:val="0"/>
      <w:divBdr>
        <w:top w:val="none" w:sz="0" w:space="0" w:color="auto"/>
        <w:left w:val="none" w:sz="0" w:space="0" w:color="auto"/>
        <w:bottom w:val="none" w:sz="0" w:space="0" w:color="auto"/>
        <w:right w:val="none" w:sz="0" w:space="0" w:color="auto"/>
      </w:divBdr>
    </w:div>
    <w:div w:id="267663887">
      <w:bodyDiv w:val="1"/>
      <w:marLeft w:val="0"/>
      <w:marRight w:val="0"/>
      <w:marTop w:val="0"/>
      <w:marBottom w:val="0"/>
      <w:divBdr>
        <w:top w:val="none" w:sz="0" w:space="0" w:color="auto"/>
        <w:left w:val="none" w:sz="0" w:space="0" w:color="auto"/>
        <w:bottom w:val="none" w:sz="0" w:space="0" w:color="auto"/>
        <w:right w:val="none" w:sz="0" w:space="0" w:color="auto"/>
      </w:divBdr>
    </w:div>
    <w:div w:id="590354290">
      <w:bodyDiv w:val="1"/>
      <w:marLeft w:val="0"/>
      <w:marRight w:val="0"/>
      <w:marTop w:val="0"/>
      <w:marBottom w:val="0"/>
      <w:divBdr>
        <w:top w:val="none" w:sz="0" w:space="0" w:color="auto"/>
        <w:left w:val="none" w:sz="0" w:space="0" w:color="auto"/>
        <w:bottom w:val="none" w:sz="0" w:space="0" w:color="auto"/>
        <w:right w:val="none" w:sz="0" w:space="0" w:color="auto"/>
      </w:divBdr>
    </w:div>
    <w:div w:id="696859276">
      <w:bodyDiv w:val="1"/>
      <w:marLeft w:val="0"/>
      <w:marRight w:val="0"/>
      <w:marTop w:val="0"/>
      <w:marBottom w:val="0"/>
      <w:divBdr>
        <w:top w:val="none" w:sz="0" w:space="0" w:color="auto"/>
        <w:left w:val="none" w:sz="0" w:space="0" w:color="auto"/>
        <w:bottom w:val="none" w:sz="0" w:space="0" w:color="auto"/>
        <w:right w:val="none" w:sz="0" w:space="0" w:color="auto"/>
      </w:divBdr>
    </w:div>
    <w:div w:id="702366551">
      <w:bodyDiv w:val="1"/>
      <w:marLeft w:val="0"/>
      <w:marRight w:val="0"/>
      <w:marTop w:val="0"/>
      <w:marBottom w:val="0"/>
      <w:divBdr>
        <w:top w:val="none" w:sz="0" w:space="0" w:color="auto"/>
        <w:left w:val="none" w:sz="0" w:space="0" w:color="auto"/>
        <w:bottom w:val="none" w:sz="0" w:space="0" w:color="auto"/>
        <w:right w:val="none" w:sz="0" w:space="0" w:color="auto"/>
      </w:divBdr>
    </w:div>
    <w:div w:id="728652894">
      <w:bodyDiv w:val="1"/>
      <w:marLeft w:val="0"/>
      <w:marRight w:val="0"/>
      <w:marTop w:val="0"/>
      <w:marBottom w:val="0"/>
      <w:divBdr>
        <w:top w:val="none" w:sz="0" w:space="0" w:color="auto"/>
        <w:left w:val="none" w:sz="0" w:space="0" w:color="auto"/>
        <w:bottom w:val="none" w:sz="0" w:space="0" w:color="auto"/>
        <w:right w:val="none" w:sz="0" w:space="0" w:color="auto"/>
      </w:divBdr>
    </w:div>
    <w:div w:id="785465832">
      <w:bodyDiv w:val="1"/>
      <w:marLeft w:val="0"/>
      <w:marRight w:val="0"/>
      <w:marTop w:val="0"/>
      <w:marBottom w:val="0"/>
      <w:divBdr>
        <w:top w:val="none" w:sz="0" w:space="0" w:color="auto"/>
        <w:left w:val="none" w:sz="0" w:space="0" w:color="auto"/>
        <w:bottom w:val="none" w:sz="0" w:space="0" w:color="auto"/>
        <w:right w:val="none" w:sz="0" w:space="0" w:color="auto"/>
      </w:divBdr>
    </w:div>
    <w:div w:id="928848131">
      <w:bodyDiv w:val="1"/>
      <w:marLeft w:val="0"/>
      <w:marRight w:val="0"/>
      <w:marTop w:val="0"/>
      <w:marBottom w:val="0"/>
      <w:divBdr>
        <w:top w:val="none" w:sz="0" w:space="0" w:color="auto"/>
        <w:left w:val="none" w:sz="0" w:space="0" w:color="auto"/>
        <w:bottom w:val="none" w:sz="0" w:space="0" w:color="auto"/>
        <w:right w:val="none" w:sz="0" w:space="0" w:color="auto"/>
      </w:divBdr>
    </w:div>
    <w:div w:id="936862725">
      <w:bodyDiv w:val="1"/>
      <w:marLeft w:val="0"/>
      <w:marRight w:val="0"/>
      <w:marTop w:val="0"/>
      <w:marBottom w:val="0"/>
      <w:divBdr>
        <w:top w:val="none" w:sz="0" w:space="0" w:color="auto"/>
        <w:left w:val="none" w:sz="0" w:space="0" w:color="auto"/>
        <w:bottom w:val="none" w:sz="0" w:space="0" w:color="auto"/>
        <w:right w:val="none" w:sz="0" w:space="0" w:color="auto"/>
      </w:divBdr>
    </w:div>
    <w:div w:id="986671330">
      <w:bodyDiv w:val="1"/>
      <w:marLeft w:val="0"/>
      <w:marRight w:val="0"/>
      <w:marTop w:val="0"/>
      <w:marBottom w:val="0"/>
      <w:divBdr>
        <w:top w:val="none" w:sz="0" w:space="0" w:color="auto"/>
        <w:left w:val="none" w:sz="0" w:space="0" w:color="auto"/>
        <w:bottom w:val="none" w:sz="0" w:space="0" w:color="auto"/>
        <w:right w:val="none" w:sz="0" w:space="0" w:color="auto"/>
      </w:divBdr>
    </w:div>
    <w:div w:id="1028338860">
      <w:bodyDiv w:val="1"/>
      <w:marLeft w:val="0"/>
      <w:marRight w:val="0"/>
      <w:marTop w:val="0"/>
      <w:marBottom w:val="0"/>
      <w:divBdr>
        <w:top w:val="none" w:sz="0" w:space="0" w:color="auto"/>
        <w:left w:val="none" w:sz="0" w:space="0" w:color="auto"/>
        <w:bottom w:val="none" w:sz="0" w:space="0" w:color="auto"/>
        <w:right w:val="none" w:sz="0" w:space="0" w:color="auto"/>
      </w:divBdr>
    </w:div>
    <w:div w:id="1031879346">
      <w:bodyDiv w:val="1"/>
      <w:marLeft w:val="0"/>
      <w:marRight w:val="0"/>
      <w:marTop w:val="0"/>
      <w:marBottom w:val="0"/>
      <w:divBdr>
        <w:top w:val="none" w:sz="0" w:space="0" w:color="auto"/>
        <w:left w:val="none" w:sz="0" w:space="0" w:color="auto"/>
        <w:bottom w:val="none" w:sz="0" w:space="0" w:color="auto"/>
        <w:right w:val="none" w:sz="0" w:space="0" w:color="auto"/>
      </w:divBdr>
    </w:div>
    <w:div w:id="1049184924">
      <w:bodyDiv w:val="1"/>
      <w:marLeft w:val="0"/>
      <w:marRight w:val="0"/>
      <w:marTop w:val="0"/>
      <w:marBottom w:val="0"/>
      <w:divBdr>
        <w:top w:val="none" w:sz="0" w:space="0" w:color="auto"/>
        <w:left w:val="none" w:sz="0" w:space="0" w:color="auto"/>
        <w:bottom w:val="none" w:sz="0" w:space="0" w:color="auto"/>
        <w:right w:val="none" w:sz="0" w:space="0" w:color="auto"/>
      </w:divBdr>
    </w:div>
    <w:div w:id="1094130989">
      <w:bodyDiv w:val="1"/>
      <w:marLeft w:val="0"/>
      <w:marRight w:val="0"/>
      <w:marTop w:val="0"/>
      <w:marBottom w:val="0"/>
      <w:divBdr>
        <w:top w:val="none" w:sz="0" w:space="0" w:color="auto"/>
        <w:left w:val="none" w:sz="0" w:space="0" w:color="auto"/>
        <w:bottom w:val="none" w:sz="0" w:space="0" w:color="auto"/>
        <w:right w:val="none" w:sz="0" w:space="0" w:color="auto"/>
      </w:divBdr>
    </w:div>
    <w:div w:id="1099108038">
      <w:bodyDiv w:val="1"/>
      <w:marLeft w:val="0"/>
      <w:marRight w:val="0"/>
      <w:marTop w:val="0"/>
      <w:marBottom w:val="0"/>
      <w:divBdr>
        <w:top w:val="none" w:sz="0" w:space="0" w:color="auto"/>
        <w:left w:val="none" w:sz="0" w:space="0" w:color="auto"/>
        <w:bottom w:val="none" w:sz="0" w:space="0" w:color="auto"/>
        <w:right w:val="none" w:sz="0" w:space="0" w:color="auto"/>
      </w:divBdr>
    </w:div>
    <w:div w:id="1124730437">
      <w:bodyDiv w:val="1"/>
      <w:marLeft w:val="0"/>
      <w:marRight w:val="0"/>
      <w:marTop w:val="0"/>
      <w:marBottom w:val="0"/>
      <w:divBdr>
        <w:top w:val="none" w:sz="0" w:space="0" w:color="auto"/>
        <w:left w:val="none" w:sz="0" w:space="0" w:color="auto"/>
        <w:bottom w:val="none" w:sz="0" w:space="0" w:color="auto"/>
        <w:right w:val="none" w:sz="0" w:space="0" w:color="auto"/>
      </w:divBdr>
    </w:div>
    <w:div w:id="1134132139">
      <w:bodyDiv w:val="1"/>
      <w:marLeft w:val="0"/>
      <w:marRight w:val="0"/>
      <w:marTop w:val="0"/>
      <w:marBottom w:val="0"/>
      <w:divBdr>
        <w:top w:val="none" w:sz="0" w:space="0" w:color="auto"/>
        <w:left w:val="none" w:sz="0" w:space="0" w:color="auto"/>
        <w:bottom w:val="none" w:sz="0" w:space="0" w:color="auto"/>
        <w:right w:val="none" w:sz="0" w:space="0" w:color="auto"/>
      </w:divBdr>
    </w:div>
    <w:div w:id="1442456352">
      <w:bodyDiv w:val="1"/>
      <w:marLeft w:val="0"/>
      <w:marRight w:val="0"/>
      <w:marTop w:val="0"/>
      <w:marBottom w:val="0"/>
      <w:divBdr>
        <w:top w:val="none" w:sz="0" w:space="0" w:color="auto"/>
        <w:left w:val="none" w:sz="0" w:space="0" w:color="auto"/>
        <w:bottom w:val="none" w:sz="0" w:space="0" w:color="auto"/>
        <w:right w:val="none" w:sz="0" w:space="0" w:color="auto"/>
      </w:divBdr>
    </w:div>
    <w:div w:id="1444569764">
      <w:bodyDiv w:val="1"/>
      <w:marLeft w:val="0"/>
      <w:marRight w:val="0"/>
      <w:marTop w:val="0"/>
      <w:marBottom w:val="0"/>
      <w:divBdr>
        <w:top w:val="none" w:sz="0" w:space="0" w:color="auto"/>
        <w:left w:val="none" w:sz="0" w:space="0" w:color="auto"/>
        <w:bottom w:val="none" w:sz="0" w:space="0" w:color="auto"/>
        <w:right w:val="none" w:sz="0" w:space="0" w:color="auto"/>
      </w:divBdr>
    </w:div>
    <w:div w:id="1547061145">
      <w:bodyDiv w:val="1"/>
      <w:marLeft w:val="0"/>
      <w:marRight w:val="0"/>
      <w:marTop w:val="0"/>
      <w:marBottom w:val="0"/>
      <w:divBdr>
        <w:top w:val="none" w:sz="0" w:space="0" w:color="auto"/>
        <w:left w:val="none" w:sz="0" w:space="0" w:color="auto"/>
        <w:bottom w:val="none" w:sz="0" w:space="0" w:color="auto"/>
        <w:right w:val="none" w:sz="0" w:space="0" w:color="auto"/>
      </w:divBdr>
    </w:div>
    <w:div w:id="1597589309">
      <w:bodyDiv w:val="1"/>
      <w:marLeft w:val="0"/>
      <w:marRight w:val="0"/>
      <w:marTop w:val="0"/>
      <w:marBottom w:val="0"/>
      <w:divBdr>
        <w:top w:val="none" w:sz="0" w:space="0" w:color="auto"/>
        <w:left w:val="none" w:sz="0" w:space="0" w:color="auto"/>
        <w:bottom w:val="none" w:sz="0" w:space="0" w:color="auto"/>
        <w:right w:val="none" w:sz="0" w:space="0" w:color="auto"/>
      </w:divBdr>
    </w:div>
    <w:div w:id="1618099695">
      <w:bodyDiv w:val="1"/>
      <w:marLeft w:val="0"/>
      <w:marRight w:val="0"/>
      <w:marTop w:val="0"/>
      <w:marBottom w:val="0"/>
      <w:divBdr>
        <w:top w:val="none" w:sz="0" w:space="0" w:color="auto"/>
        <w:left w:val="none" w:sz="0" w:space="0" w:color="auto"/>
        <w:bottom w:val="none" w:sz="0" w:space="0" w:color="auto"/>
        <w:right w:val="none" w:sz="0" w:space="0" w:color="auto"/>
      </w:divBdr>
    </w:div>
    <w:div w:id="1707217450">
      <w:bodyDiv w:val="1"/>
      <w:marLeft w:val="0"/>
      <w:marRight w:val="0"/>
      <w:marTop w:val="0"/>
      <w:marBottom w:val="0"/>
      <w:divBdr>
        <w:top w:val="none" w:sz="0" w:space="0" w:color="auto"/>
        <w:left w:val="none" w:sz="0" w:space="0" w:color="auto"/>
        <w:bottom w:val="none" w:sz="0" w:space="0" w:color="auto"/>
        <w:right w:val="none" w:sz="0" w:space="0" w:color="auto"/>
      </w:divBdr>
    </w:div>
    <w:div w:id="1751342291">
      <w:bodyDiv w:val="1"/>
      <w:marLeft w:val="0"/>
      <w:marRight w:val="0"/>
      <w:marTop w:val="0"/>
      <w:marBottom w:val="0"/>
      <w:divBdr>
        <w:top w:val="none" w:sz="0" w:space="0" w:color="auto"/>
        <w:left w:val="none" w:sz="0" w:space="0" w:color="auto"/>
        <w:bottom w:val="none" w:sz="0" w:space="0" w:color="auto"/>
        <w:right w:val="none" w:sz="0" w:space="0" w:color="auto"/>
      </w:divBdr>
    </w:div>
    <w:div w:id="1782993448">
      <w:bodyDiv w:val="1"/>
      <w:marLeft w:val="0"/>
      <w:marRight w:val="0"/>
      <w:marTop w:val="0"/>
      <w:marBottom w:val="0"/>
      <w:divBdr>
        <w:top w:val="none" w:sz="0" w:space="0" w:color="auto"/>
        <w:left w:val="none" w:sz="0" w:space="0" w:color="auto"/>
        <w:bottom w:val="none" w:sz="0" w:space="0" w:color="auto"/>
        <w:right w:val="none" w:sz="0" w:space="0" w:color="auto"/>
      </w:divBdr>
    </w:div>
    <w:div w:id="1851990333">
      <w:bodyDiv w:val="1"/>
      <w:marLeft w:val="0"/>
      <w:marRight w:val="0"/>
      <w:marTop w:val="0"/>
      <w:marBottom w:val="0"/>
      <w:divBdr>
        <w:top w:val="none" w:sz="0" w:space="0" w:color="auto"/>
        <w:left w:val="none" w:sz="0" w:space="0" w:color="auto"/>
        <w:bottom w:val="none" w:sz="0" w:space="0" w:color="auto"/>
        <w:right w:val="none" w:sz="0" w:space="0" w:color="auto"/>
      </w:divBdr>
    </w:div>
    <w:div w:id="21251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nuosreform@ofgem.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footnotes.xml.rels><?xml version="1.0" encoding="UTF-8" standalone="yes"?>
<Relationships xmlns="http://schemas.openxmlformats.org/package/2006/relationships"><Relationship Id="rId8" Type="http://schemas.openxmlformats.org/officeDocument/2006/relationships/hyperlink" Target="https://www.ssen-transmission.co.uk/media/5764/ssen-transmission-offshore-tnuos-addendum_.pdf" TargetMode="External"/><Relationship Id="rId13" Type="http://schemas.openxmlformats.org/officeDocument/2006/relationships/hyperlink" Target="https://www.nationalgrideso.com/document/207346/download" TargetMode="External"/><Relationship Id="rId3" Type="http://schemas.openxmlformats.org/officeDocument/2006/relationships/hyperlink" Target="https://www.gov.uk/government/publications/contracts-for-difference-cfd-second-allocation-round-results" TargetMode="External"/><Relationship Id="rId7" Type="http://schemas.openxmlformats.org/officeDocument/2006/relationships/hyperlink" Target="https://www.ssen-transmission.co.uk/media/5764/ssen-transmission-offshore-tnuos-addendum_.pdf" TargetMode="External"/><Relationship Id="rId12" Type="http://schemas.openxmlformats.org/officeDocument/2006/relationships/hyperlink" Target="https://www.nationalgrideso.com/document/207346/download" TargetMode="External"/><Relationship Id="rId2" Type="http://schemas.openxmlformats.org/officeDocument/2006/relationships/hyperlink" Target="https://www.gov.uk/government/publications/contracts-for-difference-cfd-allocation-round-one-outcome" TargetMode="External"/><Relationship Id="rId1" Type="http://schemas.openxmlformats.org/officeDocument/2006/relationships/hyperlink" Target="https://www.theccc.org.uk/publication/sixth-carbon-budget/" TargetMode="External"/><Relationship Id="rId6" Type="http://schemas.openxmlformats.org/officeDocument/2006/relationships/hyperlink" Target="https://cdn.ymaws.com/www.renewableuk.com/resource/resmgr/210524_tnuos_paper_final_for.pdf" TargetMode="External"/><Relationship Id="rId11" Type="http://schemas.openxmlformats.org/officeDocument/2006/relationships/hyperlink" Target="https://www.gov.uk/government/publications/energy-white-paper-powering-our-net-zero-future" TargetMode="External"/><Relationship Id="rId5" Type="http://schemas.openxmlformats.org/officeDocument/2006/relationships/hyperlink" Target="https://www.nationalgrideso.com/charging/transmission-network-use-system-tnuos-charges" TargetMode="External"/><Relationship Id="rId10" Type="http://schemas.openxmlformats.org/officeDocument/2006/relationships/hyperlink" Target="https://www.scottishrenewables.com/publications/924-report-charging-differentials-for-132kv-generation" TargetMode="External"/><Relationship Id="rId4" Type="http://schemas.openxmlformats.org/officeDocument/2006/relationships/hyperlink" Target="https://www.gov.uk/government/publications/contracts-for-difference-cfd-allocation-round-3-results" TargetMode="External"/><Relationship Id="rId9" Type="http://schemas.openxmlformats.org/officeDocument/2006/relationships/hyperlink" Target="https://www.ofgem.gov.uk/publications/access-and-forward-looking-charges-significant-code-review-consultation-minded-posi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6329B03414F5B8BEB69D4B72A5C10"/>
        <w:category>
          <w:name w:val="General"/>
          <w:gallery w:val="placeholder"/>
        </w:category>
        <w:types>
          <w:type w:val="bbPlcHdr"/>
        </w:types>
        <w:behaviors>
          <w:behavior w:val="content"/>
        </w:behaviors>
        <w:guid w:val="{5111158E-2916-49D1-BB02-C1A5849A19D1}"/>
      </w:docPartPr>
      <w:docPartBody>
        <w:p w:rsidR="00E02FA8" w:rsidRDefault="00B17EC4">
          <w:pPr>
            <w:pStyle w:val="D026329B03414F5B8BEB69D4B72A5C10"/>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EC4"/>
    <w:rsid w:val="000B2A3C"/>
    <w:rsid w:val="0044622C"/>
    <w:rsid w:val="00626EDC"/>
    <w:rsid w:val="00B17EC4"/>
    <w:rsid w:val="00E02FA8"/>
    <w:rsid w:val="00E053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26329B03414F5B8BEB69D4B72A5C10">
    <w:name w:val="D026329B03414F5B8BEB69D4B72A5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e Document" ma:contentTypeID="0x0101009AA1DC2EC3B316478CE20CAA0A6BC2C100168F42F8D2C10C48A80BE2B958F88C4A" ma:contentTypeVersion="13" ma:contentTypeDescription="Create a new document." ma:contentTypeScope="" ma:versionID="949dd612fdd17692e2bf9a0eb527d59e">
  <xsd:schema xmlns:xsd="http://www.w3.org/2001/XMLSchema" xmlns:xs="http://www.w3.org/2001/XMLSchema" xmlns:p="http://schemas.microsoft.com/office/2006/metadata/properties" xmlns:ns1="http://schemas.microsoft.com/sharepoint/v3" xmlns:ns2="9093acf3-be6d-40ef-a599-a0acefafb49d" xmlns:ns3="d5dfec62-5a7a-4bf7-939c-e6d3f257bb81" targetNamespace="http://schemas.microsoft.com/office/2006/metadata/properties" ma:root="true" ma:fieldsID="cfd2b72f12388df810cbda8d073af54a" ns1:_="" ns2:_="" ns3:_="">
    <xsd:import namespace="http://schemas.microsoft.com/sharepoint/v3"/>
    <xsd:import namespace="9093acf3-be6d-40ef-a599-a0acefafb49d"/>
    <xsd:import namespace="d5dfec62-5a7a-4bf7-939c-e6d3f257bb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Tag" minOccurs="0"/>
                <xsd:element ref="ns2:Author_x002f_Owner"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3acf3-be6d-40ef-a599-a0acefafb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 ma:index="14" nillable="true" ma:displayName="Tag" ma:internalName="Tag">
      <xsd:complexType>
        <xsd:complexContent>
          <xsd:extension base="dms:MultiChoiceFillIn">
            <xsd:sequence>
              <xsd:element name="Value" maxOccurs="unbounded" minOccurs="0" nillable="true">
                <xsd:simpleType>
                  <xsd:union memberTypes="dms:Text">
                    <xsd:simpleType>
                      <xsd:restriction base="dms:Choice">
                        <xsd:enumeration value="Grid Connections"/>
                        <xsd:enumeration value="Grid Charging"/>
                        <xsd:enumeration value="RES Response"/>
                      </xsd:restriction>
                    </xsd:simpleType>
                  </xsd:union>
                </xsd:simpleType>
              </xsd:element>
            </xsd:sequence>
          </xsd:extension>
        </xsd:complexContent>
      </xsd:complexType>
    </xsd:element>
    <xsd:element name="Author_x002f_Owner" ma:index="15" nillable="true" ma:displayName="Author/Owner" ma:description="Who published this document?" ma:internalName="Author_x002f_Owner">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fec62-5a7a-4bf7-939c-e6d3f257bb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uthor_x002f_Owner xmlns="9093acf3-be6d-40ef-a599-a0acefafb49d" xsi:nil="true"/>
    <_ip_UnifiedCompliancePolicyProperties xmlns="http://schemas.microsoft.com/sharepoint/v3" xsi:nil="true"/>
    <Tag xmlns="9093acf3-be6d-40ef-a599-a0acefafb49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1FBF-A3D4-4936-A804-2682A452DC8F}">
  <ds:schemaRefs>
    <ds:schemaRef ds:uri="http://schemas.microsoft.com/sharepoint/v3/contenttype/forms"/>
  </ds:schemaRefs>
</ds:datastoreItem>
</file>

<file path=customXml/itemProps2.xml><?xml version="1.0" encoding="utf-8"?>
<ds:datastoreItem xmlns:ds="http://schemas.openxmlformats.org/officeDocument/2006/customXml" ds:itemID="{B7F1CAA6-1FF2-4644-A7F2-475873D9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93acf3-be6d-40ef-a599-a0acefafb49d"/>
    <ds:schemaRef ds:uri="d5dfec62-5a7a-4bf7-939c-e6d3f257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360B3-29D1-4EA7-B85A-CE7AC10EF0EF}">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9093acf3-be6d-40ef-a599-a0acefafb49d"/>
    <ds:schemaRef ds:uri="http://purl.org/dc/terms/"/>
    <ds:schemaRef ds:uri="http://schemas.openxmlformats.org/package/2006/metadata/core-properties"/>
    <ds:schemaRef ds:uri="d5dfec62-5a7a-4bf7-939c-e6d3f257bb81"/>
    <ds:schemaRef ds:uri="http://schemas.microsoft.com/sharepoint/v3"/>
  </ds:schemaRefs>
</ds:datastoreItem>
</file>

<file path=customXml/itemProps4.xml><?xml version="1.0" encoding="utf-8"?>
<ds:datastoreItem xmlns:ds="http://schemas.openxmlformats.org/officeDocument/2006/customXml" ds:itemID="{626180BB-99D1-4092-9382-1E136BAD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11</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Smith</dc:creator>
  <cp:lastModifiedBy>Angeles Sandoval</cp:lastModifiedBy>
  <cp:revision>25</cp:revision>
  <cp:lastPrinted>2019-02-25T13:28:00Z</cp:lastPrinted>
  <dcterms:created xsi:type="dcterms:W3CDTF">2021-11-02T18:58:00Z</dcterms:created>
  <dcterms:modified xsi:type="dcterms:W3CDTF">2021-11-05T13:40:00Z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0x0101009AA1DC2EC3B316478CE20CAA0A6BC2C100168F42F8D2C10C48A80BE2B958F88C4A</vt:lpwstr>
  </property>
</Properties>
</file>