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6210" w14:textId="3B6E688D" w:rsidR="00B912C2" w:rsidRPr="000A48D0" w:rsidRDefault="00B96DC7" w:rsidP="000A48D0">
      <w:pPr>
        <w:jc w:val="both"/>
        <w:rPr>
          <w:rFonts w:ascii="Arial" w:hAnsi="Arial" w:cs="Arial"/>
          <w:sz w:val="20"/>
          <w:szCs w:val="20"/>
        </w:rPr>
      </w:pPr>
      <w:r w:rsidRPr="000A48D0">
        <w:rPr>
          <w:rFonts w:ascii="Arial" w:hAnsi="Arial" w:cs="Arial"/>
          <w:sz w:val="20"/>
          <w:szCs w:val="20"/>
        </w:rPr>
        <w:t>Email</w:t>
      </w:r>
      <w:r w:rsidR="008C2DDB">
        <w:rPr>
          <w:rFonts w:ascii="Arial" w:hAnsi="Arial" w:cs="Arial"/>
          <w:sz w:val="20"/>
          <w:szCs w:val="20"/>
        </w:rPr>
        <w:t>:</w:t>
      </w:r>
      <w:r w:rsidR="00990827" w:rsidRPr="000A48D0">
        <w:rPr>
          <w:rFonts w:ascii="Arial" w:hAnsi="Arial" w:cs="Arial"/>
          <w:sz w:val="20"/>
          <w:szCs w:val="20"/>
        </w:rPr>
        <w:t xml:space="preserve"> </w:t>
      </w:r>
      <w:r w:rsidR="00990827" w:rsidRPr="000A48D0">
        <w:rPr>
          <w:rFonts w:ascii="Arial" w:hAnsi="Arial" w:cs="Arial"/>
          <w:sz w:val="20"/>
          <w:szCs w:val="20"/>
        </w:rPr>
        <w:br/>
      </w:r>
      <w:hyperlink r:id="rId11" w:history="1">
        <w:r w:rsidR="00FB3054" w:rsidRPr="000A48D0">
          <w:rPr>
            <w:rStyle w:val="Hyperlink"/>
            <w:rFonts w:ascii="Arial" w:hAnsi="Arial" w:cs="Arial"/>
            <w:sz w:val="20"/>
            <w:szCs w:val="20"/>
          </w:rPr>
          <w:t>FutureChargingandAccess@ofgem.gov.uk</w:t>
        </w:r>
      </w:hyperlink>
      <w:r w:rsidR="00FB3054" w:rsidRPr="000A48D0">
        <w:rPr>
          <w:rFonts w:ascii="Arial" w:hAnsi="Arial" w:cs="Arial"/>
          <w:sz w:val="20"/>
          <w:szCs w:val="20"/>
        </w:rPr>
        <w:t xml:space="preserve"> </w:t>
      </w:r>
      <w:r w:rsidR="00470E96" w:rsidRPr="000A48D0">
        <w:rPr>
          <w:rFonts w:ascii="Arial" w:hAnsi="Arial" w:cs="Arial"/>
          <w:sz w:val="20"/>
          <w:szCs w:val="20"/>
        </w:rPr>
        <w:br/>
      </w:r>
    </w:p>
    <w:sdt>
      <w:sdtPr>
        <w:rPr>
          <w:rFonts w:ascii="Arial" w:hAnsi="Arial" w:cs="Arial"/>
          <w:sz w:val="20"/>
          <w:szCs w:val="20"/>
        </w:rPr>
        <w:alias w:val="Please select the date"/>
        <w:tag w:val="Please select the date"/>
        <w:id w:val="-1603492743"/>
        <w:placeholder>
          <w:docPart w:val="D026329B03414F5B8BEB69D4B72A5C10"/>
        </w:placeholder>
        <w:date w:fullDate="2021-08-18T00:00:00Z">
          <w:dateFormat w:val="dd MMMM yyyy"/>
          <w:lid w:val="en-GB"/>
          <w:storeMappedDataAs w:val="dateTime"/>
          <w:calendar w:val="gregorian"/>
        </w:date>
      </w:sdtPr>
      <w:sdtEndPr/>
      <w:sdtContent>
        <w:p w14:paraId="2668A966" w14:textId="3D8ACCBF" w:rsidR="00EC7255" w:rsidRPr="000A48D0" w:rsidRDefault="00344A91" w:rsidP="000A48D0">
          <w:pPr>
            <w:jc w:val="both"/>
            <w:rPr>
              <w:rFonts w:ascii="Arial" w:hAnsi="Arial" w:cs="Arial"/>
              <w:sz w:val="20"/>
              <w:szCs w:val="20"/>
            </w:rPr>
          </w:pPr>
          <w:r>
            <w:rPr>
              <w:rFonts w:ascii="Arial" w:hAnsi="Arial" w:cs="Arial"/>
              <w:sz w:val="20"/>
              <w:szCs w:val="20"/>
            </w:rPr>
            <w:t>18</w:t>
          </w:r>
          <w:r w:rsidR="00B6783E" w:rsidRPr="000A48D0">
            <w:rPr>
              <w:rFonts w:ascii="Arial" w:hAnsi="Arial" w:cs="Arial"/>
              <w:sz w:val="20"/>
              <w:szCs w:val="20"/>
            </w:rPr>
            <w:t xml:space="preserve"> </w:t>
          </w:r>
          <w:r w:rsidR="0053000E">
            <w:rPr>
              <w:rFonts w:ascii="Arial" w:hAnsi="Arial" w:cs="Arial"/>
              <w:sz w:val="20"/>
              <w:szCs w:val="20"/>
            </w:rPr>
            <w:t>August</w:t>
          </w:r>
          <w:r w:rsidR="00B6783E" w:rsidRPr="000A48D0">
            <w:rPr>
              <w:rFonts w:ascii="Arial" w:hAnsi="Arial" w:cs="Arial"/>
              <w:sz w:val="20"/>
              <w:szCs w:val="20"/>
            </w:rPr>
            <w:t xml:space="preserve"> 202</w:t>
          </w:r>
          <w:r w:rsidR="008F4B41" w:rsidRPr="000A48D0">
            <w:rPr>
              <w:rFonts w:ascii="Arial" w:hAnsi="Arial" w:cs="Arial"/>
              <w:sz w:val="20"/>
              <w:szCs w:val="20"/>
            </w:rPr>
            <w:t>1</w:t>
          </w:r>
        </w:p>
      </w:sdtContent>
    </w:sdt>
    <w:p w14:paraId="183780A1" w14:textId="77777777" w:rsidR="00B912C2" w:rsidRPr="000A48D0" w:rsidRDefault="00B912C2" w:rsidP="000A48D0">
      <w:pPr>
        <w:jc w:val="both"/>
        <w:rPr>
          <w:rFonts w:ascii="Arial" w:hAnsi="Arial" w:cs="Arial"/>
          <w:sz w:val="20"/>
          <w:szCs w:val="20"/>
        </w:rPr>
      </w:pPr>
    </w:p>
    <w:p w14:paraId="244E5A69" w14:textId="2AD0A037" w:rsidR="00B912C2" w:rsidRPr="000A48D0" w:rsidRDefault="00E87187" w:rsidP="000A48D0">
      <w:pPr>
        <w:jc w:val="both"/>
        <w:rPr>
          <w:rFonts w:ascii="Arial" w:hAnsi="Arial" w:cs="Arial"/>
          <w:sz w:val="20"/>
          <w:szCs w:val="20"/>
        </w:rPr>
      </w:pPr>
      <w:r w:rsidRPr="000A48D0">
        <w:rPr>
          <w:rFonts w:ascii="Arial" w:hAnsi="Arial" w:cs="Arial"/>
          <w:sz w:val="20"/>
          <w:szCs w:val="20"/>
        </w:rPr>
        <w:t xml:space="preserve">To whom it may concern, </w:t>
      </w:r>
    </w:p>
    <w:p w14:paraId="3E286AD1" w14:textId="188AFAFC" w:rsidR="0095264F" w:rsidRPr="000A48D0" w:rsidRDefault="008B4E0F" w:rsidP="000A48D0">
      <w:pPr>
        <w:jc w:val="both"/>
        <w:rPr>
          <w:rFonts w:ascii="Arial" w:hAnsi="Arial" w:cs="Arial"/>
          <w:b/>
          <w:bCs/>
          <w:color w:val="000000"/>
          <w:sz w:val="20"/>
          <w:szCs w:val="20"/>
        </w:rPr>
      </w:pPr>
      <w:r w:rsidRPr="000A48D0">
        <w:rPr>
          <w:rFonts w:ascii="Arial" w:hAnsi="Arial" w:cs="Arial"/>
          <w:b/>
          <w:bCs/>
          <w:color w:val="000000"/>
          <w:sz w:val="20"/>
          <w:szCs w:val="20"/>
        </w:rPr>
        <w:t>Access and Forward-looking Charges Significant Code Review: Consultation on Minded to Positions</w:t>
      </w:r>
    </w:p>
    <w:p w14:paraId="34A4B74B" w14:textId="7CD2CDA7" w:rsidR="00334631" w:rsidRPr="000A48D0" w:rsidRDefault="00BC38E2" w:rsidP="000A48D0">
      <w:pPr>
        <w:jc w:val="both"/>
        <w:rPr>
          <w:rFonts w:ascii="Arial" w:hAnsi="Arial" w:cs="Arial"/>
          <w:sz w:val="20"/>
          <w:szCs w:val="20"/>
        </w:rPr>
      </w:pPr>
      <w:r w:rsidRPr="000A48D0">
        <w:rPr>
          <w:rFonts w:ascii="Arial" w:hAnsi="Arial" w:cs="Arial"/>
          <w:sz w:val="20"/>
          <w:szCs w:val="20"/>
        </w:rPr>
        <w:t xml:space="preserve">Scottish Renewables is the voice of Scotland’s renewable energy industry, working to grow the sector and sustain its position at the forefront of the global clean energy transition. We represent around 260 organisations across the full range of renewable energy technologies in Scotland and around the world, ranging from energy suppliers, operators and manufacturers to small developers, </w:t>
      </w:r>
      <w:r w:rsidR="001C3951" w:rsidRPr="000A48D0">
        <w:rPr>
          <w:rFonts w:ascii="Arial" w:hAnsi="Arial" w:cs="Arial"/>
          <w:sz w:val="20"/>
          <w:szCs w:val="20"/>
        </w:rPr>
        <w:t>installers,</w:t>
      </w:r>
      <w:r w:rsidRPr="000A48D0">
        <w:rPr>
          <w:rFonts w:ascii="Arial" w:hAnsi="Arial" w:cs="Arial"/>
          <w:sz w:val="20"/>
          <w:szCs w:val="20"/>
        </w:rPr>
        <w:t xml:space="preserve"> and community groups, as well as companies throughout the supply chain. </w:t>
      </w:r>
    </w:p>
    <w:p w14:paraId="40879927" w14:textId="11EE4D96" w:rsidR="00B6783E" w:rsidRPr="00C82D70" w:rsidRDefault="00B6783E" w:rsidP="000A48D0">
      <w:pPr>
        <w:jc w:val="both"/>
        <w:rPr>
          <w:rFonts w:ascii="Arial" w:hAnsi="Arial" w:cs="Arial"/>
          <w:sz w:val="20"/>
          <w:szCs w:val="20"/>
        </w:rPr>
      </w:pPr>
      <w:r w:rsidRPr="00C82D70">
        <w:rPr>
          <w:rFonts w:ascii="Arial" w:hAnsi="Arial" w:cs="Arial"/>
          <w:sz w:val="20"/>
          <w:szCs w:val="20"/>
        </w:rPr>
        <w:t xml:space="preserve">In responding to this consultation, we would </w:t>
      </w:r>
      <w:r w:rsidR="00AC61BE" w:rsidRPr="00C82D70">
        <w:rPr>
          <w:rFonts w:ascii="Arial" w:hAnsi="Arial" w:cs="Arial"/>
          <w:sz w:val="20"/>
          <w:szCs w:val="20"/>
        </w:rPr>
        <w:t>like to draw your attention to the following points:</w:t>
      </w:r>
    </w:p>
    <w:p w14:paraId="45A5DD31" w14:textId="6CC9E4B7" w:rsidR="000A48D0" w:rsidRPr="00C82D70" w:rsidRDefault="000A48D0" w:rsidP="000A48D0">
      <w:pPr>
        <w:pStyle w:val="ListParagraph"/>
        <w:numPr>
          <w:ilvl w:val="0"/>
          <w:numId w:val="8"/>
        </w:numPr>
        <w:spacing w:line="276" w:lineRule="auto"/>
        <w:jc w:val="both"/>
        <w:rPr>
          <w:rFonts w:cs="Arial"/>
          <w:sz w:val="20"/>
          <w:szCs w:val="20"/>
        </w:rPr>
      </w:pPr>
      <w:r w:rsidRPr="00C82D70">
        <w:rPr>
          <w:rFonts w:cs="Arial"/>
          <w:sz w:val="20"/>
          <w:szCs w:val="20"/>
        </w:rPr>
        <w:t>We welcome the proposal of removing the contribution to reinforcement for demand connections and reduce it for generation, but we would like to note that it</w:t>
      </w:r>
      <w:r w:rsidR="00CB1850" w:rsidRPr="00C82D70">
        <w:rPr>
          <w:rFonts w:cs="Arial"/>
          <w:sz w:val="20"/>
          <w:szCs w:val="20"/>
        </w:rPr>
        <w:t xml:space="preserve"> is</w:t>
      </w:r>
      <w:r w:rsidRPr="00C82D70">
        <w:rPr>
          <w:rFonts w:cs="Arial"/>
          <w:sz w:val="20"/>
          <w:szCs w:val="20"/>
        </w:rPr>
        <w:t xml:space="preserve"> difficult to assess the outcomes of this without knowing what will happen with </w:t>
      </w:r>
      <w:proofErr w:type="spellStart"/>
      <w:r w:rsidRPr="00C82D70">
        <w:rPr>
          <w:rFonts w:cs="Arial"/>
          <w:sz w:val="20"/>
          <w:szCs w:val="20"/>
        </w:rPr>
        <w:t>DUoS</w:t>
      </w:r>
      <w:proofErr w:type="spellEnd"/>
      <w:r w:rsidRPr="00C82D70">
        <w:rPr>
          <w:rFonts w:cs="Arial"/>
          <w:sz w:val="20"/>
          <w:szCs w:val="20"/>
        </w:rPr>
        <w:t>.</w:t>
      </w:r>
    </w:p>
    <w:p w14:paraId="5626D990" w14:textId="097E26AF" w:rsidR="000A48D0" w:rsidRPr="00C82D70" w:rsidRDefault="002B22C2" w:rsidP="000A48D0">
      <w:pPr>
        <w:pStyle w:val="ListParagraph"/>
        <w:numPr>
          <w:ilvl w:val="0"/>
          <w:numId w:val="8"/>
        </w:numPr>
        <w:spacing w:line="276" w:lineRule="auto"/>
        <w:jc w:val="both"/>
        <w:rPr>
          <w:rFonts w:cs="Arial"/>
          <w:sz w:val="20"/>
          <w:szCs w:val="20"/>
        </w:rPr>
      </w:pPr>
      <w:r w:rsidRPr="00C82D70">
        <w:rPr>
          <w:rFonts w:cs="Arial"/>
          <w:sz w:val="20"/>
          <w:szCs w:val="20"/>
        </w:rPr>
        <w:t xml:space="preserve">We think that a better defined non-firm access must be introduced in a way that embedded generators </w:t>
      </w:r>
      <w:r w:rsidR="00CB1850" w:rsidRPr="00C82D70">
        <w:rPr>
          <w:rFonts w:cs="Arial"/>
          <w:sz w:val="20"/>
          <w:szCs w:val="20"/>
        </w:rPr>
        <w:t>are</w:t>
      </w:r>
      <w:r w:rsidRPr="00C82D70">
        <w:rPr>
          <w:rFonts w:cs="Arial"/>
          <w:sz w:val="20"/>
          <w:szCs w:val="20"/>
        </w:rPr>
        <w:t xml:space="preserve"> able to know when curtailment is likely to happen.</w:t>
      </w:r>
    </w:p>
    <w:p w14:paraId="1CA59993" w14:textId="69A4A7E5" w:rsidR="000804F6" w:rsidRPr="00C82D70" w:rsidRDefault="002B22C2" w:rsidP="004D3409">
      <w:pPr>
        <w:pStyle w:val="ListParagraph"/>
        <w:numPr>
          <w:ilvl w:val="0"/>
          <w:numId w:val="8"/>
        </w:numPr>
        <w:spacing w:line="276" w:lineRule="auto"/>
        <w:jc w:val="both"/>
        <w:rPr>
          <w:rFonts w:cs="Arial"/>
          <w:sz w:val="20"/>
          <w:szCs w:val="20"/>
        </w:rPr>
      </w:pPr>
      <w:r w:rsidRPr="00C82D70">
        <w:rPr>
          <w:rFonts w:cs="Arial"/>
          <w:sz w:val="20"/>
          <w:szCs w:val="20"/>
        </w:rPr>
        <w:t xml:space="preserve">We believe that the current </w:t>
      </w:r>
      <w:proofErr w:type="spellStart"/>
      <w:r w:rsidRPr="00C82D70">
        <w:rPr>
          <w:rFonts w:cs="Arial"/>
          <w:sz w:val="20"/>
          <w:szCs w:val="20"/>
        </w:rPr>
        <w:t>TNUoS</w:t>
      </w:r>
      <w:proofErr w:type="spellEnd"/>
      <w:r w:rsidRPr="00C82D70">
        <w:rPr>
          <w:rFonts w:cs="Arial"/>
          <w:sz w:val="20"/>
          <w:szCs w:val="20"/>
        </w:rPr>
        <w:t xml:space="preserve"> charging regime is not fit for purpose to deliver an economically efficient transition to net-zero</w:t>
      </w:r>
      <w:r w:rsidR="004D3409" w:rsidRPr="00C82D70">
        <w:rPr>
          <w:rFonts w:cs="Arial"/>
          <w:sz w:val="20"/>
          <w:szCs w:val="20"/>
        </w:rPr>
        <w:t>.</w:t>
      </w:r>
      <w:r w:rsidR="00C82D70" w:rsidRPr="00C82D70">
        <w:rPr>
          <w:rFonts w:cs="Arial"/>
          <w:sz w:val="20"/>
          <w:szCs w:val="20"/>
        </w:rPr>
        <w:t xml:space="preserve"> </w:t>
      </w:r>
      <w:r w:rsidRPr="00C82D70">
        <w:rPr>
          <w:rFonts w:cs="Arial"/>
          <w:sz w:val="20"/>
          <w:szCs w:val="20"/>
        </w:rPr>
        <w:t>Therefore,</w:t>
      </w:r>
      <w:r w:rsidR="00C82D70" w:rsidRPr="00C82D70">
        <w:rPr>
          <w:rFonts w:cs="Arial"/>
          <w:sz w:val="20"/>
          <w:szCs w:val="20"/>
        </w:rPr>
        <w:t xml:space="preserve"> </w:t>
      </w:r>
      <w:r w:rsidR="004D3409" w:rsidRPr="00C82D70">
        <w:rPr>
          <w:rFonts w:cs="Arial"/>
          <w:sz w:val="20"/>
          <w:szCs w:val="20"/>
        </w:rPr>
        <w:t>w</w:t>
      </w:r>
      <w:r w:rsidRPr="00C82D70">
        <w:rPr>
          <w:rFonts w:cs="Arial"/>
          <w:sz w:val="20"/>
          <w:szCs w:val="20"/>
        </w:rPr>
        <w:t>e strongly support the proposal that d</w:t>
      </w:r>
      <w:r w:rsidR="007B2CC7" w:rsidRPr="00C82D70">
        <w:rPr>
          <w:rFonts w:cs="Arial"/>
          <w:sz w:val="20"/>
          <w:szCs w:val="20"/>
        </w:rPr>
        <w:t>elay</w:t>
      </w:r>
      <w:r w:rsidR="00CB1850" w:rsidRPr="00C82D70">
        <w:rPr>
          <w:rFonts w:cs="Arial"/>
          <w:sz w:val="20"/>
          <w:szCs w:val="20"/>
        </w:rPr>
        <w:t>s</w:t>
      </w:r>
      <w:r w:rsidR="007B2CC7" w:rsidRPr="00C82D70">
        <w:rPr>
          <w:rFonts w:cs="Arial"/>
          <w:sz w:val="20"/>
          <w:szCs w:val="20"/>
        </w:rPr>
        <w:t xml:space="preserve"> implementation</w:t>
      </w:r>
      <w:r w:rsidRPr="00C82D70">
        <w:rPr>
          <w:rFonts w:cs="Arial"/>
          <w:sz w:val="20"/>
          <w:szCs w:val="20"/>
        </w:rPr>
        <w:t xml:space="preserve"> of </w:t>
      </w:r>
      <w:proofErr w:type="spellStart"/>
      <w:r w:rsidRPr="00C82D70">
        <w:rPr>
          <w:rFonts w:cs="Arial"/>
          <w:sz w:val="20"/>
          <w:szCs w:val="20"/>
        </w:rPr>
        <w:t>TNUoS</w:t>
      </w:r>
      <w:proofErr w:type="spellEnd"/>
      <w:r w:rsidRPr="00C82D70">
        <w:rPr>
          <w:rFonts w:cs="Arial"/>
          <w:sz w:val="20"/>
          <w:szCs w:val="20"/>
        </w:rPr>
        <w:t xml:space="preserve"> charges for SDG</w:t>
      </w:r>
      <w:r w:rsidR="007B2CC7" w:rsidRPr="00C82D70">
        <w:rPr>
          <w:rFonts w:cs="Arial"/>
          <w:sz w:val="20"/>
          <w:szCs w:val="20"/>
        </w:rPr>
        <w:t xml:space="preserve"> until a wider review of </w:t>
      </w:r>
      <w:proofErr w:type="spellStart"/>
      <w:r w:rsidR="007B2CC7" w:rsidRPr="00C82D70">
        <w:rPr>
          <w:rFonts w:cs="Arial"/>
          <w:sz w:val="20"/>
          <w:szCs w:val="20"/>
        </w:rPr>
        <w:t>TNUoS</w:t>
      </w:r>
      <w:proofErr w:type="spellEnd"/>
      <w:r w:rsidR="007B2CC7" w:rsidRPr="00C82D70">
        <w:rPr>
          <w:rFonts w:cs="Arial"/>
          <w:sz w:val="20"/>
          <w:szCs w:val="20"/>
        </w:rPr>
        <w:t xml:space="preserve"> has happened. </w:t>
      </w:r>
    </w:p>
    <w:p w14:paraId="00B48AF6" w14:textId="05535F2B" w:rsidR="00FF76EB" w:rsidRPr="00C82D70" w:rsidRDefault="0084324D" w:rsidP="000A48D0">
      <w:pPr>
        <w:pStyle w:val="ListParagraph"/>
        <w:numPr>
          <w:ilvl w:val="0"/>
          <w:numId w:val="8"/>
        </w:numPr>
        <w:spacing w:line="276" w:lineRule="auto"/>
        <w:jc w:val="both"/>
        <w:rPr>
          <w:rFonts w:cs="Arial"/>
          <w:sz w:val="20"/>
          <w:szCs w:val="20"/>
        </w:rPr>
      </w:pPr>
      <w:r w:rsidRPr="00C82D70">
        <w:rPr>
          <w:rFonts w:cs="Arial"/>
          <w:sz w:val="20"/>
          <w:szCs w:val="20"/>
        </w:rPr>
        <w:t>We think</w:t>
      </w:r>
      <w:r w:rsidR="002B22C2" w:rsidRPr="00C82D70">
        <w:rPr>
          <w:rFonts w:cs="Arial"/>
          <w:sz w:val="20"/>
          <w:szCs w:val="20"/>
        </w:rPr>
        <w:t xml:space="preserve">, </w:t>
      </w:r>
      <w:r w:rsidR="004D3409" w:rsidRPr="00C82D70">
        <w:rPr>
          <w:rFonts w:cs="Arial"/>
          <w:color w:val="000000"/>
          <w:sz w:val="20"/>
          <w:szCs w:val="20"/>
        </w:rPr>
        <w:t>if implementation were to be progressed,</w:t>
      </w:r>
      <w:r w:rsidR="004D3409" w:rsidRPr="00C82D70">
        <w:rPr>
          <w:rFonts w:cs="Arial"/>
          <w:sz w:val="20"/>
          <w:szCs w:val="20"/>
        </w:rPr>
        <w:t xml:space="preserve"> </w:t>
      </w:r>
      <w:r w:rsidR="002B22C2" w:rsidRPr="00C82D70">
        <w:rPr>
          <w:rFonts w:cs="Arial"/>
          <w:sz w:val="20"/>
          <w:szCs w:val="20"/>
        </w:rPr>
        <w:t>there is a strong case for g</w:t>
      </w:r>
      <w:r w:rsidR="007B2CC7" w:rsidRPr="00C82D70">
        <w:rPr>
          <w:rFonts w:cs="Arial"/>
          <w:sz w:val="20"/>
          <w:szCs w:val="20"/>
        </w:rPr>
        <w:t xml:space="preserve">randfathering sites that </w:t>
      </w:r>
      <w:r w:rsidR="002B22C2" w:rsidRPr="00C82D70">
        <w:rPr>
          <w:rFonts w:cs="Arial"/>
          <w:sz w:val="20"/>
          <w:szCs w:val="20"/>
        </w:rPr>
        <w:t xml:space="preserve">will be </w:t>
      </w:r>
      <w:r w:rsidR="007B2CC7" w:rsidRPr="00C82D70">
        <w:rPr>
          <w:rFonts w:cs="Arial"/>
          <w:sz w:val="20"/>
          <w:szCs w:val="20"/>
        </w:rPr>
        <w:t>adversity affected by regulatory changes</w:t>
      </w:r>
      <w:r w:rsidR="004D3409" w:rsidRPr="00C82D70">
        <w:rPr>
          <w:rFonts w:cs="Arial"/>
          <w:sz w:val="20"/>
          <w:szCs w:val="20"/>
        </w:rPr>
        <w:t xml:space="preserve">. </w:t>
      </w:r>
      <w:r w:rsidR="004D3409" w:rsidRPr="00C82D70">
        <w:rPr>
          <w:rFonts w:cs="Arial"/>
          <w:color w:val="000000"/>
          <w:sz w:val="20"/>
          <w:szCs w:val="20"/>
        </w:rPr>
        <w:t>This mainly because big changes to the regulatory environment during the operation phase will harm investor confidence.</w:t>
      </w:r>
    </w:p>
    <w:p w14:paraId="6BB510A6" w14:textId="7D6F4F5C" w:rsidR="003C1FC0" w:rsidRPr="000A48D0" w:rsidRDefault="003C1FC0" w:rsidP="000A48D0">
      <w:pPr>
        <w:jc w:val="both"/>
        <w:rPr>
          <w:rFonts w:ascii="Arial" w:hAnsi="Arial" w:cs="Arial"/>
          <w:sz w:val="20"/>
          <w:szCs w:val="20"/>
        </w:rPr>
      </w:pPr>
      <w:r w:rsidRPr="000A48D0">
        <w:rPr>
          <w:rFonts w:ascii="Arial" w:hAnsi="Arial" w:cs="Arial"/>
          <w:sz w:val="20"/>
          <w:szCs w:val="20"/>
        </w:rPr>
        <w:t xml:space="preserve">Scottish Renewables would be keen to engage further with this agenda and would be happy to </w:t>
      </w:r>
      <w:r w:rsidR="00332CE2" w:rsidRPr="000A48D0">
        <w:rPr>
          <w:rFonts w:ascii="Arial" w:hAnsi="Arial" w:cs="Arial"/>
          <w:sz w:val="20"/>
          <w:szCs w:val="20"/>
        </w:rPr>
        <w:t>discuss our response in more detail.</w:t>
      </w:r>
    </w:p>
    <w:p w14:paraId="062BD25A" w14:textId="2F320C25" w:rsidR="00997EDA" w:rsidRPr="000A48D0" w:rsidRDefault="007E60E8" w:rsidP="000A48D0">
      <w:pPr>
        <w:shd w:val="clear" w:color="auto" w:fill="FFFFFF"/>
        <w:spacing w:after="165"/>
        <w:jc w:val="both"/>
        <w:rPr>
          <w:rFonts w:ascii="Arial" w:hAnsi="Arial" w:cs="Arial"/>
          <w:sz w:val="20"/>
          <w:szCs w:val="20"/>
        </w:rPr>
      </w:pPr>
      <w:r w:rsidRPr="000A48D0">
        <w:rPr>
          <w:rFonts w:ascii="Arial" w:hAnsi="Arial" w:cs="Arial"/>
          <w:sz w:val="20"/>
          <w:szCs w:val="20"/>
        </w:rPr>
        <w:t xml:space="preserve">Yours sincerely, </w:t>
      </w:r>
    </w:p>
    <w:p w14:paraId="1692DC2F" w14:textId="7D06A35B" w:rsidR="00F30DB2" w:rsidRPr="000A48D0" w:rsidRDefault="00434EDB" w:rsidP="000A48D0">
      <w:pPr>
        <w:shd w:val="clear" w:color="auto" w:fill="FFFFFF"/>
        <w:spacing w:after="165"/>
        <w:jc w:val="both"/>
        <w:rPr>
          <w:rFonts w:ascii="Arial" w:hAnsi="Arial" w:cs="Arial"/>
          <w:noProof/>
          <w:sz w:val="20"/>
          <w:szCs w:val="20"/>
        </w:rPr>
      </w:pPr>
      <w:r w:rsidRPr="000A48D0">
        <w:rPr>
          <w:rFonts w:ascii="Arial" w:hAnsi="Arial" w:cs="Arial"/>
          <w:noProof/>
          <w:sz w:val="20"/>
          <w:szCs w:val="20"/>
        </w:rPr>
        <w:drawing>
          <wp:inline distT="0" distB="0" distL="0" distR="0" wp14:anchorId="02B5D77E" wp14:editId="75F16DCF">
            <wp:extent cx="2067127" cy="676073"/>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74855" cy="678600"/>
                    </a:xfrm>
                    <a:prstGeom prst="rect">
                      <a:avLst/>
                    </a:prstGeom>
                    <a:ln>
                      <a:noFill/>
                    </a:ln>
                    <a:extLst>
                      <a:ext uri="{53640926-AAD7-44D8-BBD7-CCE9431645EC}">
                        <a14:shadowObscured xmlns:a14="http://schemas.microsoft.com/office/drawing/2010/main"/>
                      </a:ext>
                    </a:extLst>
                  </pic:spPr>
                </pic:pic>
              </a:graphicData>
            </a:graphic>
          </wp:inline>
        </w:drawing>
      </w:r>
    </w:p>
    <w:p w14:paraId="684B8879" w14:textId="11BFF3CE" w:rsidR="00997EDA" w:rsidRPr="000A48D0" w:rsidRDefault="00711DEA" w:rsidP="000A48D0">
      <w:pPr>
        <w:shd w:val="clear" w:color="auto" w:fill="FFFFFF"/>
        <w:spacing w:after="165"/>
        <w:jc w:val="both"/>
        <w:rPr>
          <w:rFonts w:ascii="Arial" w:hAnsi="Arial" w:cs="Arial"/>
          <w:sz w:val="20"/>
          <w:szCs w:val="20"/>
        </w:rPr>
      </w:pPr>
      <w:r w:rsidRPr="000A48D0">
        <w:rPr>
          <w:rFonts w:ascii="Arial" w:hAnsi="Arial" w:cs="Arial"/>
          <w:sz w:val="20"/>
          <w:szCs w:val="20"/>
        </w:rPr>
        <w:t>Angeles Sandoval</w:t>
      </w:r>
    </w:p>
    <w:p w14:paraId="3851E671" w14:textId="2588EF9C" w:rsidR="007E60E8" w:rsidRPr="000A48D0" w:rsidRDefault="00B6783E" w:rsidP="000A48D0">
      <w:pPr>
        <w:jc w:val="both"/>
        <w:rPr>
          <w:rFonts w:ascii="Arial" w:hAnsi="Arial" w:cs="Arial"/>
          <w:b/>
          <w:sz w:val="20"/>
          <w:szCs w:val="20"/>
        </w:rPr>
      </w:pPr>
      <w:r w:rsidRPr="000A48D0">
        <w:rPr>
          <w:rFonts w:ascii="Arial" w:hAnsi="Arial" w:cs="Arial"/>
          <w:b/>
          <w:sz w:val="20"/>
          <w:szCs w:val="20"/>
        </w:rPr>
        <w:t>Policy Manager</w:t>
      </w:r>
    </w:p>
    <w:p w14:paraId="104548F2" w14:textId="47AAA46F" w:rsidR="007E60E8" w:rsidRPr="000A48D0" w:rsidRDefault="007E60E8" w:rsidP="000A48D0">
      <w:pPr>
        <w:jc w:val="both"/>
        <w:rPr>
          <w:rFonts w:ascii="Arial" w:hAnsi="Arial" w:cs="Arial"/>
          <w:sz w:val="20"/>
          <w:szCs w:val="20"/>
        </w:rPr>
      </w:pPr>
      <w:r w:rsidRPr="000A48D0">
        <w:rPr>
          <w:rFonts w:ascii="Arial" w:hAnsi="Arial" w:cs="Arial"/>
          <w:sz w:val="20"/>
          <w:szCs w:val="20"/>
        </w:rPr>
        <w:t xml:space="preserve">Scottish Renewables </w:t>
      </w:r>
    </w:p>
    <w:p w14:paraId="19120482" w14:textId="77777777" w:rsidR="000804F6" w:rsidRPr="000A48D0" w:rsidRDefault="000804F6" w:rsidP="000A48D0">
      <w:pPr>
        <w:jc w:val="both"/>
        <w:rPr>
          <w:rFonts w:ascii="Arial" w:hAnsi="Arial" w:cs="Arial"/>
          <w:sz w:val="20"/>
          <w:szCs w:val="20"/>
        </w:rPr>
      </w:pPr>
    </w:p>
    <w:p w14:paraId="35AB9AB8" w14:textId="088A5C3E" w:rsidR="000804F6" w:rsidRPr="000A48D0" w:rsidRDefault="000804F6" w:rsidP="000A48D0">
      <w:pPr>
        <w:jc w:val="both"/>
        <w:rPr>
          <w:rFonts w:ascii="Arial" w:hAnsi="Arial" w:cs="Arial"/>
          <w:sz w:val="20"/>
          <w:szCs w:val="20"/>
        </w:rPr>
      </w:pPr>
    </w:p>
    <w:p w14:paraId="3F017550" w14:textId="35FE6025" w:rsidR="000804F6" w:rsidRPr="000A48D0" w:rsidRDefault="000804F6" w:rsidP="000A48D0">
      <w:pPr>
        <w:jc w:val="both"/>
        <w:rPr>
          <w:rFonts w:ascii="Arial" w:hAnsi="Arial" w:cs="Arial"/>
          <w:sz w:val="20"/>
          <w:szCs w:val="20"/>
        </w:rPr>
      </w:pPr>
    </w:p>
    <w:p w14:paraId="0AF4E6EA" w14:textId="3517DEB3" w:rsidR="00CC7489" w:rsidRDefault="00CC7489" w:rsidP="000A48D0">
      <w:pPr>
        <w:jc w:val="both"/>
        <w:rPr>
          <w:rFonts w:ascii="Arial" w:hAnsi="Arial" w:cs="Arial"/>
          <w:sz w:val="20"/>
          <w:szCs w:val="20"/>
        </w:rPr>
      </w:pPr>
    </w:p>
    <w:p w14:paraId="6FC74B5F" w14:textId="77777777" w:rsidR="00114592" w:rsidRPr="000A48D0" w:rsidRDefault="00114592" w:rsidP="000A48D0">
      <w:pPr>
        <w:jc w:val="both"/>
        <w:rPr>
          <w:rFonts w:ascii="Arial" w:hAnsi="Arial" w:cs="Arial"/>
          <w:sz w:val="20"/>
          <w:szCs w:val="20"/>
        </w:rPr>
      </w:pPr>
    </w:p>
    <w:p w14:paraId="06EE8C55" w14:textId="77777777" w:rsidR="000804F6" w:rsidRPr="000A48D0" w:rsidRDefault="000804F6" w:rsidP="000A48D0">
      <w:pPr>
        <w:jc w:val="both"/>
        <w:rPr>
          <w:rFonts w:ascii="Arial" w:hAnsi="Arial" w:cs="Arial"/>
          <w:b/>
          <w:bCs/>
          <w:sz w:val="20"/>
          <w:szCs w:val="20"/>
          <w:u w:val="single"/>
        </w:rPr>
      </w:pPr>
      <w:r w:rsidRPr="000A48D0">
        <w:rPr>
          <w:rFonts w:ascii="Arial" w:hAnsi="Arial" w:cs="Arial"/>
          <w:b/>
          <w:bCs/>
          <w:sz w:val="20"/>
          <w:szCs w:val="20"/>
          <w:u w:val="single"/>
        </w:rPr>
        <w:t>Connection boundary</w:t>
      </w:r>
    </w:p>
    <w:p w14:paraId="7D8A334F" w14:textId="60E21F8D" w:rsidR="000804F6" w:rsidRPr="000A48D0" w:rsidRDefault="000804F6" w:rsidP="000A48D0">
      <w:pPr>
        <w:jc w:val="both"/>
        <w:rPr>
          <w:rFonts w:ascii="Arial" w:hAnsi="Arial" w:cs="Arial"/>
          <w:b/>
          <w:bCs/>
          <w:sz w:val="20"/>
          <w:szCs w:val="20"/>
        </w:rPr>
      </w:pPr>
      <w:r w:rsidRPr="000A48D0">
        <w:rPr>
          <w:rFonts w:ascii="Arial" w:hAnsi="Arial" w:cs="Arial"/>
          <w:b/>
          <w:bCs/>
          <w:sz w:val="20"/>
          <w:szCs w:val="20"/>
        </w:rPr>
        <w:t xml:space="preserve">Question 3a: Do you agree with our proposals to remove the contribution to reinforcement for demand connections and reduce it for generation? Do you think there are any arguments for going further for generation under the current </w:t>
      </w:r>
      <w:proofErr w:type="spellStart"/>
      <w:r w:rsidRPr="000A48D0">
        <w:rPr>
          <w:rFonts w:ascii="Arial" w:hAnsi="Arial" w:cs="Arial"/>
          <w:b/>
          <w:bCs/>
          <w:sz w:val="20"/>
          <w:szCs w:val="20"/>
        </w:rPr>
        <w:t>DUoS</w:t>
      </w:r>
      <w:proofErr w:type="spellEnd"/>
      <w:r w:rsidRPr="000A48D0">
        <w:rPr>
          <w:rFonts w:ascii="Arial" w:hAnsi="Arial" w:cs="Arial"/>
          <w:b/>
          <w:bCs/>
          <w:sz w:val="20"/>
          <w:szCs w:val="20"/>
        </w:rPr>
        <w:t xml:space="preserve"> arrangements? Please explain why.</w:t>
      </w:r>
    </w:p>
    <w:p w14:paraId="068DA7DE" w14:textId="6FF28892" w:rsidR="00EF4B1D" w:rsidRPr="000A48D0" w:rsidRDefault="00827071" w:rsidP="000A48D0">
      <w:pPr>
        <w:jc w:val="both"/>
        <w:rPr>
          <w:rFonts w:ascii="Arial" w:hAnsi="Arial" w:cs="Arial"/>
          <w:sz w:val="20"/>
          <w:szCs w:val="20"/>
        </w:rPr>
      </w:pPr>
      <w:r w:rsidRPr="000A48D0">
        <w:rPr>
          <w:rFonts w:ascii="Arial" w:hAnsi="Arial" w:cs="Arial"/>
          <w:sz w:val="20"/>
          <w:szCs w:val="20"/>
        </w:rPr>
        <w:t>We welcome Ofgem</w:t>
      </w:r>
      <w:r w:rsidR="008937E8" w:rsidRPr="000A48D0">
        <w:rPr>
          <w:rFonts w:ascii="Arial" w:hAnsi="Arial" w:cs="Arial"/>
          <w:sz w:val="20"/>
          <w:szCs w:val="20"/>
        </w:rPr>
        <w:t>’s</w:t>
      </w:r>
      <w:r w:rsidRPr="000A48D0">
        <w:rPr>
          <w:rFonts w:ascii="Arial" w:hAnsi="Arial" w:cs="Arial"/>
          <w:sz w:val="20"/>
          <w:szCs w:val="20"/>
        </w:rPr>
        <w:t xml:space="preserve"> proposal of removing the contribution to reinforcement for demand connections and reduce it for generation.</w:t>
      </w:r>
      <w:r w:rsidR="00EF4B1D" w:rsidRPr="000A48D0">
        <w:rPr>
          <w:rFonts w:ascii="Arial" w:hAnsi="Arial" w:cs="Arial"/>
          <w:sz w:val="20"/>
          <w:szCs w:val="20"/>
        </w:rPr>
        <w:t xml:space="preserve"> We think that this new arrangement will send an effective signal for network users and may speed up the roll-out of low carbon technologies.</w:t>
      </w:r>
    </w:p>
    <w:p w14:paraId="56D00DDB" w14:textId="4A91EA92" w:rsidR="008734ED" w:rsidRPr="000A48D0" w:rsidRDefault="008734ED" w:rsidP="000A48D0">
      <w:pPr>
        <w:jc w:val="both"/>
        <w:rPr>
          <w:rFonts w:ascii="Arial" w:hAnsi="Arial" w:cs="Arial"/>
          <w:sz w:val="20"/>
          <w:szCs w:val="20"/>
        </w:rPr>
      </w:pPr>
      <w:r w:rsidRPr="000A48D0">
        <w:rPr>
          <w:rFonts w:ascii="Arial" w:hAnsi="Arial" w:cs="Arial"/>
          <w:sz w:val="20"/>
          <w:szCs w:val="20"/>
        </w:rPr>
        <w:t xml:space="preserve">However, it is difficult to assess what the net outcome will be without having clear details about what </w:t>
      </w:r>
      <w:r w:rsidR="00435A79" w:rsidRPr="000A48D0">
        <w:rPr>
          <w:rFonts w:ascii="Arial" w:hAnsi="Arial" w:cs="Arial"/>
          <w:sz w:val="20"/>
          <w:szCs w:val="20"/>
        </w:rPr>
        <w:t>will</w:t>
      </w:r>
      <w:r w:rsidRPr="000A48D0">
        <w:rPr>
          <w:rFonts w:ascii="Arial" w:hAnsi="Arial" w:cs="Arial"/>
          <w:sz w:val="20"/>
          <w:szCs w:val="20"/>
        </w:rPr>
        <w:t xml:space="preserve"> happen with </w:t>
      </w:r>
      <w:proofErr w:type="spellStart"/>
      <w:r w:rsidRPr="000A48D0">
        <w:rPr>
          <w:rFonts w:ascii="Arial" w:hAnsi="Arial" w:cs="Arial"/>
          <w:sz w:val="20"/>
          <w:szCs w:val="20"/>
        </w:rPr>
        <w:t>DUoS</w:t>
      </w:r>
      <w:proofErr w:type="spellEnd"/>
      <w:r w:rsidRPr="000A48D0">
        <w:rPr>
          <w:rFonts w:ascii="Arial" w:hAnsi="Arial" w:cs="Arial"/>
          <w:sz w:val="20"/>
          <w:szCs w:val="20"/>
        </w:rPr>
        <w:t>.</w:t>
      </w:r>
      <w:r w:rsidR="00C801CB" w:rsidRPr="000A48D0">
        <w:rPr>
          <w:rFonts w:ascii="Arial" w:hAnsi="Arial" w:cs="Arial"/>
          <w:sz w:val="20"/>
          <w:szCs w:val="20"/>
        </w:rPr>
        <w:t xml:space="preserve"> Ofgem states that they are still considering policy options for </w:t>
      </w:r>
      <w:proofErr w:type="spellStart"/>
      <w:r w:rsidR="00C801CB" w:rsidRPr="000A48D0">
        <w:rPr>
          <w:rFonts w:ascii="Arial" w:hAnsi="Arial" w:cs="Arial"/>
          <w:sz w:val="20"/>
          <w:szCs w:val="20"/>
        </w:rPr>
        <w:t>DUoS</w:t>
      </w:r>
      <w:proofErr w:type="spellEnd"/>
      <w:r w:rsidR="00C801CB" w:rsidRPr="000A48D0">
        <w:rPr>
          <w:rFonts w:ascii="Arial" w:hAnsi="Arial" w:cs="Arial"/>
          <w:sz w:val="20"/>
          <w:szCs w:val="20"/>
        </w:rPr>
        <w:t xml:space="preserve"> charging structure and the current assessment of the connection charging proposals </w:t>
      </w:r>
      <w:proofErr w:type="gramStart"/>
      <w:r w:rsidR="00C801CB" w:rsidRPr="000A48D0">
        <w:rPr>
          <w:rFonts w:ascii="Arial" w:hAnsi="Arial" w:cs="Arial"/>
          <w:sz w:val="20"/>
          <w:szCs w:val="20"/>
        </w:rPr>
        <w:t>is based on the assumption</w:t>
      </w:r>
      <w:proofErr w:type="gramEnd"/>
      <w:r w:rsidR="00C801CB" w:rsidRPr="000A48D0">
        <w:rPr>
          <w:rFonts w:ascii="Arial" w:hAnsi="Arial" w:cs="Arial"/>
          <w:sz w:val="20"/>
          <w:szCs w:val="20"/>
        </w:rPr>
        <w:t xml:space="preserve"> of either no or l</w:t>
      </w:r>
      <w:r w:rsidR="008937E8" w:rsidRPr="000A48D0">
        <w:rPr>
          <w:rFonts w:ascii="Arial" w:hAnsi="Arial" w:cs="Arial"/>
          <w:sz w:val="20"/>
          <w:szCs w:val="20"/>
        </w:rPr>
        <w:t>ittle</w:t>
      </w:r>
      <w:r w:rsidR="00C801CB" w:rsidRPr="000A48D0">
        <w:rPr>
          <w:rFonts w:ascii="Arial" w:hAnsi="Arial" w:cs="Arial"/>
          <w:sz w:val="20"/>
          <w:szCs w:val="20"/>
        </w:rPr>
        <w:t xml:space="preserve"> change to </w:t>
      </w:r>
      <w:proofErr w:type="spellStart"/>
      <w:r w:rsidR="00C801CB" w:rsidRPr="000A48D0">
        <w:rPr>
          <w:rFonts w:ascii="Arial" w:hAnsi="Arial" w:cs="Arial"/>
          <w:sz w:val="20"/>
          <w:szCs w:val="20"/>
        </w:rPr>
        <w:t>DUoS</w:t>
      </w:r>
      <w:proofErr w:type="spellEnd"/>
      <w:r w:rsidR="00C801CB" w:rsidRPr="000A48D0">
        <w:rPr>
          <w:rFonts w:ascii="Arial" w:hAnsi="Arial" w:cs="Arial"/>
          <w:sz w:val="20"/>
          <w:szCs w:val="20"/>
        </w:rPr>
        <w:t>.</w:t>
      </w:r>
    </w:p>
    <w:p w14:paraId="39DF6997" w14:textId="78655BCA" w:rsidR="000804F6" w:rsidRPr="000A48D0" w:rsidRDefault="000804F6" w:rsidP="000A48D0">
      <w:pPr>
        <w:pStyle w:val="NormalWeb"/>
        <w:spacing w:after="0" w:line="276" w:lineRule="auto"/>
        <w:jc w:val="both"/>
        <w:rPr>
          <w:rFonts w:ascii="Arial" w:hAnsi="Arial" w:cs="Arial"/>
          <w:b/>
          <w:bCs/>
          <w:sz w:val="20"/>
          <w:szCs w:val="20"/>
        </w:rPr>
      </w:pPr>
      <w:r w:rsidRPr="000A48D0">
        <w:rPr>
          <w:rFonts w:ascii="Arial" w:hAnsi="Arial" w:cs="Arial"/>
          <w:b/>
          <w:bCs/>
          <w:sz w:val="20"/>
          <w:szCs w:val="20"/>
        </w:rPr>
        <w:t>Question 3b: What evidence do you have on the effectiveness of the current connection charging arrangements in being able to send a signal to users and what do you think will be the effect of our proposed changes? How does this vary between demand and generation connections?</w:t>
      </w:r>
    </w:p>
    <w:p w14:paraId="512B8A60" w14:textId="458E6D36" w:rsidR="00C833EE" w:rsidRPr="000A48D0" w:rsidRDefault="00056AE5" w:rsidP="000A48D0">
      <w:pPr>
        <w:pStyle w:val="NormalWeb"/>
        <w:spacing w:after="0" w:line="276" w:lineRule="auto"/>
        <w:jc w:val="both"/>
        <w:rPr>
          <w:rFonts w:ascii="Arial" w:hAnsi="Arial" w:cs="Arial"/>
          <w:sz w:val="20"/>
          <w:szCs w:val="20"/>
        </w:rPr>
      </w:pPr>
      <w:r w:rsidRPr="000A48D0">
        <w:rPr>
          <w:rFonts w:ascii="Arial" w:hAnsi="Arial" w:cs="Arial"/>
          <w:sz w:val="20"/>
          <w:szCs w:val="20"/>
        </w:rPr>
        <w:t>The current “shallow-</w:t>
      </w:r>
      <w:proofErr w:type="spellStart"/>
      <w:r w:rsidRPr="000A48D0">
        <w:rPr>
          <w:rFonts w:ascii="Arial" w:hAnsi="Arial" w:cs="Arial"/>
          <w:sz w:val="20"/>
          <w:szCs w:val="20"/>
        </w:rPr>
        <w:t>ish</w:t>
      </w:r>
      <w:proofErr w:type="spellEnd"/>
      <w:r w:rsidRPr="000A48D0">
        <w:rPr>
          <w:rFonts w:ascii="Arial" w:hAnsi="Arial" w:cs="Arial"/>
          <w:sz w:val="20"/>
          <w:szCs w:val="20"/>
        </w:rPr>
        <w:t>” connection boundary incentivises connection in locations which do not require reinforcement. We think that this approach could limit the economic locations available to renewable generation, and prevent wider networks upgrades that may enable the decarbonisation of other sectors of the economy, for example transport or heat</w:t>
      </w:r>
      <w:r w:rsidR="00C833EE" w:rsidRPr="000A48D0">
        <w:rPr>
          <w:rFonts w:ascii="Arial" w:hAnsi="Arial" w:cs="Arial"/>
          <w:sz w:val="20"/>
          <w:szCs w:val="20"/>
        </w:rPr>
        <w:t xml:space="preserve">. </w:t>
      </w:r>
      <w:r w:rsidRPr="000A48D0">
        <w:rPr>
          <w:rFonts w:ascii="Arial" w:hAnsi="Arial" w:cs="Arial"/>
          <w:sz w:val="20"/>
          <w:szCs w:val="20"/>
        </w:rPr>
        <w:t>We believe the current arrangements will constrain the roll out of low carbon technologies and the increased investment we will need to electrify heat and transport</w:t>
      </w:r>
      <w:r w:rsidR="00C65DDA" w:rsidRPr="000A48D0">
        <w:rPr>
          <w:rFonts w:ascii="Arial" w:hAnsi="Arial" w:cs="Arial"/>
          <w:sz w:val="20"/>
          <w:szCs w:val="20"/>
        </w:rPr>
        <w:t xml:space="preserve"> without the proposed changes</w:t>
      </w:r>
      <w:r w:rsidRPr="000A48D0">
        <w:rPr>
          <w:rFonts w:ascii="Arial" w:hAnsi="Arial" w:cs="Arial"/>
          <w:sz w:val="20"/>
          <w:szCs w:val="20"/>
        </w:rPr>
        <w:t>.</w:t>
      </w:r>
      <w:r w:rsidR="00C833EE" w:rsidRPr="000A48D0">
        <w:rPr>
          <w:rFonts w:ascii="Arial" w:hAnsi="Arial" w:cs="Arial"/>
          <w:sz w:val="20"/>
          <w:szCs w:val="20"/>
        </w:rPr>
        <w:t xml:space="preserve"> </w:t>
      </w:r>
    </w:p>
    <w:p w14:paraId="4647B302" w14:textId="76BD5483" w:rsidR="001A1BC5" w:rsidRPr="000A48D0" w:rsidRDefault="001A1BC5" w:rsidP="000A48D0">
      <w:pPr>
        <w:pStyle w:val="NormalWeb"/>
        <w:spacing w:after="0" w:line="276" w:lineRule="auto"/>
        <w:jc w:val="both"/>
        <w:rPr>
          <w:rFonts w:ascii="Arial" w:hAnsi="Arial" w:cs="Arial"/>
          <w:sz w:val="20"/>
          <w:szCs w:val="20"/>
        </w:rPr>
      </w:pPr>
      <w:r w:rsidRPr="000A48D0">
        <w:rPr>
          <w:rFonts w:ascii="Arial" w:hAnsi="Arial" w:cs="Arial"/>
          <w:sz w:val="20"/>
          <w:szCs w:val="20"/>
        </w:rPr>
        <w:t>Scottish Renewables has evidenced</w:t>
      </w:r>
      <w:r w:rsidRPr="000A48D0">
        <w:rPr>
          <w:rStyle w:val="FootnoteReference"/>
          <w:rFonts w:ascii="Arial" w:hAnsi="Arial" w:cs="Arial"/>
          <w:sz w:val="20"/>
          <w:szCs w:val="20"/>
        </w:rPr>
        <w:footnoteReference w:id="1"/>
      </w:r>
      <w:r w:rsidRPr="000A48D0">
        <w:rPr>
          <w:rFonts w:ascii="Arial" w:hAnsi="Arial" w:cs="Arial"/>
          <w:sz w:val="20"/>
          <w:szCs w:val="20"/>
        </w:rPr>
        <w:t xml:space="preserve"> that </w:t>
      </w:r>
      <w:r w:rsidR="008937E8" w:rsidRPr="000A48D0">
        <w:rPr>
          <w:rFonts w:ascii="Arial" w:hAnsi="Arial" w:cs="Arial"/>
          <w:sz w:val="20"/>
          <w:szCs w:val="20"/>
        </w:rPr>
        <w:t xml:space="preserve">a </w:t>
      </w:r>
      <w:r w:rsidRPr="000A48D0">
        <w:rPr>
          <w:rFonts w:ascii="Arial" w:hAnsi="Arial" w:cs="Arial"/>
          <w:sz w:val="20"/>
          <w:szCs w:val="20"/>
        </w:rPr>
        <w:t>move to a shallow connection boundary arrangement could address this problem</w:t>
      </w:r>
      <w:r w:rsidR="00573A6B" w:rsidRPr="000A48D0">
        <w:rPr>
          <w:rFonts w:ascii="Arial" w:hAnsi="Arial" w:cs="Arial"/>
          <w:sz w:val="20"/>
          <w:szCs w:val="20"/>
        </w:rPr>
        <w:t>, so new generators are only required to pay for direct cost of connection</w:t>
      </w:r>
      <w:r w:rsidR="00265021" w:rsidRPr="000A48D0">
        <w:rPr>
          <w:rFonts w:ascii="Arial" w:hAnsi="Arial" w:cs="Arial"/>
          <w:sz w:val="20"/>
          <w:szCs w:val="20"/>
        </w:rPr>
        <w:t xml:space="preserve">. A shallower connection boundary could also </w:t>
      </w:r>
      <w:r w:rsidR="008937E8" w:rsidRPr="000A48D0">
        <w:rPr>
          <w:rFonts w:ascii="Arial" w:hAnsi="Arial" w:cs="Arial"/>
          <w:sz w:val="20"/>
          <w:szCs w:val="20"/>
        </w:rPr>
        <w:t xml:space="preserve">be </w:t>
      </w:r>
      <w:r w:rsidR="00265021" w:rsidRPr="000A48D0">
        <w:rPr>
          <w:rFonts w:ascii="Arial" w:hAnsi="Arial" w:cs="Arial"/>
          <w:sz w:val="20"/>
          <w:szCs w:val="20"/>
        </w:rPr>
        <w:t xml:space="preserve">combined with more granular </w:t>
      </w:r>
      <w:proofErr w:type="spellStart"/>
      <w:r w:rsidR="00265021" w:rsidRPr="000A48D0">
        <w:rPr>
          <w:rFonts w:ascii="Arial" w:hAnsi="Arial" w:cs="Arial"/>
          <w:sz w:val="20"/>
          <w:szCs w:val="20"/>
        </w:rPr>
        <w:t>DUoS</w:t>
      </w:r>
      <w:proofErr w:type="spellEnd"/>
      <w:r w:rsidR="00265021" w:rsidRPr="000A48D0">
        <w:rPr>
          <w:rFonts w:ascii="Arial" w:hAnsi="Arial" w:cs="Arial"/>
          <w:sz w:val="20"/>
          <w:szCs w:val="20"/>
        </w:rPr>
        <w:t xml:space="preserve"> charges, which would provide a price signal to incentivise connections in network locations where additional generation would not require reinforcement.</w:t>
      </w:r>
      <w:r w:rsidR="002A426E" w:rsidRPr="000A48D0">
        <w:rPr>
          <w:rFonts w:ascii="Arial" w:hAnsi="Arial" w:cs="Arial"/>
          <w:sz w:val="20"/>
          <w:szCs w:val="20"/>
        </w:rPr>
        <w:t xml:space="preserve"> However, we </w:t>
      </w:r>
      <w:r w:rsidR="003760A8" w:rsidRPr="000A48D0">
        <w:rPr>
          <w:rFonts w:ascii="Arial" w:hAnsi="Arial" w:cs="Arial"/>
          <w:sz w:val="20"/>
          <w:szCs w:val="20"/>
        </w:rPr>
        <w:t>note</w:t>
      </w:r>
      <w:r w:rsidR="002A426E" w:rsidRPr="000A48D0">
        <w:rPr>
          <w:rFonts w:ascii="Arial" w:hAnsi="Arial" w:cs="Arial"/>
          <w:sz w:val="20"/>
          <w:szCs w:val="20"/>
        </w:rPr>
        <w:t xml:space="preserve"> that shallow connection charging needs to be introduced in a way that protects the rights of existing users, who could otherwise lose out via higher </w:t>
      </w:r>
      <w:proofErr w:type="spellStart"/>
      <w:r w:rsidR="002A426E" w:rsidRPr="000A48D0">
        <w:rPr>
          <w:rFonts w:ascii="Arial" w:hAnsi="Arial" w:cs="Arial"/>
          <w:sz w:val="20"/>
          <w:szCs w:val="20"/>
        </w:rPr>
        <w:t>DUoS</w:t>
      </w:r>
      <w:proofErr w:type="spellEnd"/>
      <w:r w:rsidR="002A426E" w:rsidRPr="000A48D0">
        <w:rPr>
          <w:rFonts w:ascii="Arial" w:hAnsi="Arial" w:cs="Arial"/>
          <w:sz w:val="20"/>
          <w:szCs w:val="20"/>
        </w:rPr>
        <w:t xml:space="preserve"> charges </w:t>
      </w:r>
      <w:proofErr w:type="gramStart"/>
      <w:r w:rsidR="002A426E" w:rsidRPr="000A48D0">
        <w:rPr>
          <w:rFonts w:ascii="Arial" w:hAnsi="Arial" w:cs="Arial"/>
          <w:sz w:val="20"/>
          <w:szCs w:val="20"/>
        </w:rPr>
        <w:t>due to the effect</w:t>
      </w:r>
      <w:proofErr w:type="gramEnd"/>
      <w:r w:rsidR="002A426E" w:rsidRPr="000A48D0">
        <w:rPr>
          <w:rFonts w:ascii="Arial" w:hAnsi="Arial" w:cs="Arial"/>
          <w:sz w:val="20"/>
          <w:szCs w:val="20"/>
        </w:rPr>
        <w:t xml:space="preserve"> of new </w:t>
      </w:r>
      <w:proofErr w:type="spellStart"/>
      <w:r w:rsidR="002A426E" w:rsidRPr="000A48D0">
        <w:rPr>
          <w:rFonts w:ascii="Arial" w:hAnsi="Arial" w:cs="Arial"/>
          <w:sz w:val="20"/>
          <w:szCs w:val="20"/>
        </w:rPr>
        <w:t>connectees</w:t>
      </w:r>
      <w:proofErr w:type="spellEnd"/>
      <w:r w:rsidR="002A426E" w:rsidRPr="000A48D0">
        <w:rPr>
          <w:rFonts w:ascii="Arial" w:hAnsi="Arial" w:cs="Arial"/>
          <w:sz w:val="20"/>
          <w:szCs w:val="20"/>
        </w:rPr>
        <w:t xml:space="preserve"> on the network.</w:t>
      </w:r>
    </w:p>
    <w:p w14:paraId="685A64F3" w14:textId="77777777" w:rsidR="00B87615" w:rsidRPr="000A48D0" w:rsidRDefault="00DB479F" w:rsidP="000A48D0">
      <w:pPr>
        <w:pStyle w:val="NormalWeb"/>
        <w:spacing w:line="276" w:lineRule="auto"/>
        <w:jc w:val="both"/>
        <w:rPr>
          <w:rFonts w:ascii="Arial" w:hAnsi="Arial" w:cs="Arial"/>
          <w:sz w:val="20"/>
          <w:szCs w:val="20"/>
        </w:rPr>
      </w:pPr>
      <w:r w:rsidRPr="000A48D0">
        <w:rPr>
          <w:rFonts w:ascii="Arial" w:hAnsi="Arial" w:cs="Arial"/>
          <w:sz w:val="20"/>
          <w:szCs w:val="20"/>
        </w:rPr>
        <w:t>Ofgem is proposing</w:t>
      </w:r>
      <w:r w:rsidR="00790C69" w:rsidRPr="000A48D0">
        <w:rPr>
          <w:rFonts w:ascii="Arial" w:hAnsi="Arial" w:cs="Arial"/>
          <w:sz w:val="20"/>
          <w:szCs w:val="20"/>
        </w:rPr>
        <w:t xml:space="preserve"> a hybrid approach that would remove the contribution to reinforcement for demand (a “shallow” connection charging boundary) and reduce it for generation (a “shallower” connection charging boundary than exists today). We think that this is a sensible approach</w:t>
      </w:r>
      <w:r w:rsidR="00B87615" w:rsidRPr="000A48D0">
        <w:rPr>
          <w:rFonts w:ascii="Arial" w:hAnsi="Arial" w:cs="Arial"/>
          <w:sz w:val="20"/>
          <w:szCs w:val="20"/>
        </w:rPr>
        <w:t xml:space="preserve"> and will provide balance between removing barriers, encouraging more efficient system </w:t>
      </w:r>
      <w:proofErr w:type="gramStart"/>
      <w:r w:rsidR="00B87615" w:rsidRPr="000A48D0">
        <w:rPr>
          <w:rFonts w:ascii="Arial" w:hAnsi="Arial" w:cs="Arial"/>
          <w:sz w:val="20"/>
          <w:szCs w:val="20"/>
        </w:rPr>
        <w:t>development</w:t>
      </w:r>
      <w:proofErr w:type="gramEnd"/>
      <w:r w:rsidR="00B87615" w:rsidRPr="000A48D0">
        <w:rPr>
          <w:rFonts w:ascii="Arial" w:hAnsi="Arial" w:cs="Arial"/>
          <w:sz w:val="20"/>
          <w:szCs w:val="20"/>
        </w:rPr>
        <w:t xml:space="preserve"> and supporting net zero at least cost. However,</w:t>
      </w:r>
      <w:r w:rsidR="002B1CD9" w:rsidRPr="000A48D0">
        <w:rPr>
          <w:rFonts w:ascii="Arial" w:hAnsi="Arial" w:cs="Arial"/>
          <w:sz w:val="20"/>
          <w:szCs w:val="20"/>
        </w:rPr>
        <w:t xml:space="preserve"> </w:t>
      </w:r>
      <w:r w:rsidR="002A426E" w:rsidRPr="000A48D0">
        <w:rPr>
          <w:rFonts w:ascii="Arial" w:hAnsi="Arial" w:cs="Arial"/>
          <w:sz w:val="20"/>
          <w:szCs w:val="20"/>
        </w:rPr>
        <w:t xml:space="preserve">we would like to highlight that this must be looked </w:t>
      </w:r>
      <w:r w:rsidR="00653B17" w:rsidRPr="000A48D0">
        <w:rPr>
          <w:rFonts w:ascii="Arial" w:hAnsi="Arial" w:cs="Arial"/>
          <w:sz w:val="20"/>
          <w:szCs w:val="20"/>
        </w:rPr>
        <w:t xml:space="preserve">at </w:t>
      </w:r>
      <w:r w:rsidR="002A426E" w:rsidRPr="000A48D0">
        <w:rPr>
          <w:rFonts w:ascii="Arial" w:hAnsi="Arial" w:cs="Arial"/>
          <w:sz w:val="20"/>
          <w:szCs w:val="20"/>
        </w:rPr>
        <w:t>careful</w:t>
      </w:r>
      <w:r w:rsidR="00653B17" w:rsidRPr="000A48D0">
        <w:rPr>
          <w:rFonts w:ascii="Arial" w:hAnsi="Arial" w:cs="Arial"/>
          <w:sz w:val="20"/>
          <w:szCs w:val="20"/>
        </w:rPr>
        <w:t>ly</w:t>
      </w:r>
      <w:r w:rsidR="002A426E" w:rsidRPr="000A48D0">
        <w:rPr>
          <w:rFonts w:ascii="Arial" w:hAnsi="Arial" w:cs="Arial"/>
          <w:sz w:val="20"/>
          <w:szCs w:val="20"/>
        </w:rPr>
        <w:t xml:space="preserve"> with the policy options </w:t>
      </w:r>
      <w:r w:rsidR="00552EDF" w:rsidRPr="000A48D0">
        <w:rPr>
          <w:rFonts w:ascii="Arial" w:hAnsi="Arial" w:cs="Arial"/>
          <w:sz w:val="20"/>
          <w:szCs w:val="20"/>
        </w:rPr>
        <w:t>of</w:t>
      </w:r>
      <w:r w:rsidR="002A426E" w:rsidRPr="000A48D0">
        <w:rPr>
          <w:rFonts w:ascii="Arial" w:hAnsi="Arial" w:cs="Arial"/>
          <w:sz w:val="20"/>
          <w:szCs w:val="20"/>
        </w:rPr>
        <w:t xml:space="preserve"> </w:t>
      </w:r>
      <w:proofErr w:type="spellStart"/>
      <w:r w:rsidR="002A426E" w:rsidRPr="000A48D0">
        <w:rPr>
          <w:rFonts w:ascii="Arial" w:hAnsi="Arial" w:cs="Arial"/>
          <w:sz w:val="20"/>
          <w:szCs w:val="20"/>
        </w:rPr>
        <w:t>DUoS</w:t>
      </w:r>
      <w:proofErr w:type="spellEnd"/>
      <w:r w:rsidR="002A426E" w:rsidRPr="000A48D0">
        <w:rPr>
          <w:rFonts w:ascii="Arial" w:hAnsi="Arial" w:cs="Arial"/>
          <w:sz w:val="20"/>
          <w:szCs w:val="20"/>
        </w:rPr>
        <w:t xml:space="preserve"> charging structure that Ofgem is still considering. </w:t>
      </w:r>
    </w:p>
    <w:p w14:paraId="15233A97" w14:textId="7785F023" w:rsidR="002A426E" w:rsidRPr="000A48D0" w:rsidRDefault="00552EDF" w:rsidP="000A48D0">
      <w:pPr>
        <w:pStyle w:val="NormalWeb"/>
        <w:spacing w:line="276" w:lineRule="auto"/>
        <w:jc w:val="both"/>
        <w:rPr>
          <w:rFonts w:ascii="Arial" w:hAnsi="Arial" w:cs="Arial"/>
          <w:sz w:val="20"/>
          <w:szCs w:val="20"/>
        </w:rPr>
      </w:pPr>
      <w:r w:rsidRPr="000A48D0">
        <w:rPr>
          <w:rFonts w:ascii="Arial" w:hAnsi="Arial" w:cs="Arial"/>
          <w:sz w:val="20"/>
          <w:szCs w:val="20"/>
        </w:rPr>
        <w:t xml:space="preserve">Additionally, we think that Ofgem should consider the option of </w:t>
      </w:r>
      <w:r w:rsidR="002A426E" w:rsidRPr="000A48D0">
        <w:rPr>
          <w:rFonts w:ascii="Arial" w:hAnsi="Arial" w:cs="Arial"/>
          <w:sz w:val="20"/>
          <w:szCs w:val="20"/>
        </w:rPr>
        <w:t xml:space="preserve">grandfathering the rights of existing </w:t>
      </w:r>
      <w:proofErr w:type="spellStart"/>
      <w:r w:rsidR="002A426E" w:rsidRPr="000A48D0">
        <w:rPr>
          <w:rFonts w:ascii="Arial" w:hAnsi="Arial" w:cs="Arial"/>
          <w:sz w:val="20"/>
          <w:szCs w:val="20"/>
        </w:rPr>
        <w:t>connectees</w:t>
      </w:r>
      <w:proofErr w:type="spellEnd"/>
      <w:r w:rsidR="002A426E" w:rsidRPr="000A48D0">
        <w:rPr>
          <w:rFonts w:ascii="Arial" w:hAnsi="Arial" w:cs="Arial"/>
          <w:sz w:val="20"/>
          <w:szCs w:val="20"/>
        </w:rPr>
        <w:t xml:space="preserve">. Previously, </w:t>
      </w:r>
      <w:proofErr w:type="spellStart"/>
      <w:r w:rsidR="002A426E" w:rsidRPr="000A48D0">
        <w:rPr>
          <w:rFonts w:ascii="Arial" w:hAnsi="Arial" w:cs="Arial"/>
          <w:sz w:val="20"/>
          <w:szCs w:val="20"/>
        </w:rPr>
        <w:t>connectees</w:t>
      </w:r>
      <w:proofErr w:type="spellEnd"/>
      <w:r w:rsidR="002A426E" w:rsidRPr="000A48D0">
        <w:rPr>
          <w:rFonts w:ascii="Arial" w:hAnsi="Arial" w:cs="Arial"/>
          <w:sz w:val="20"/>
          <w:szCs w:val="20"/>
        </w:rPr>
        <w:t xml:space="preserve"> would have paid for reinforcements. If new users connect without paying such costs under a shallower connection boundary, these costs will be reflected in network charges, which will be a negative externality on existing users (unless locational elements of </w:t>
      </w:r>
      <w:proofErr w:type="spellStart"/>
      <w:r w:rsidR="002A426E" w:rsidRPr="000A48D0">
        <w:rPr>
          <w:rFonts w:ascii="Arial" w:hAnsi="Arial" w:cs="Arial"/>
          <w:sz w:val="20"/>
          <w:szCs w:val="20"/>
        </w:rPr>
        <w:t>DUoS</w:t>
      </w:r>
      <w:proofErr w:type="spellEnd"/>
      <w:r w:rsidR="002A426E" w:rsidRPr="000A48D0">
        <w:rPr>
          <w:rFonts w:ascii="Arial" w:hAnsi="Arial" w:cs="Arial"/>
          <w:sz w:val="20"/>
          <w:szCs w:val="20"/>
        </w:rPr>
        <w:t xml:space="preserve"> offset the reduced connection costs)</w:t>
      </w:r>
      <w:r w:rsidRPr="000A48D0">
        <w:rPr>
          <w:rFonts w:ascii="Arial" w:hAnsi="Arial" w:cs="Arial"/>
          <w:sz w:val="20"/>
          <w:szCs w:val="20"/>
        </w:rPr>
        <w:t>.</w:t>
      </w:r>
      <w:r w:rsidR="002A426E" w:rsidRPr="000A48D0">
        <w:rPr>
          <w:rFonts w:ascii="Arial" w:hAnsi="Arial" w:cs="Arial"/>
          <w:sz w:val="20"/>
          <w:szCs w:val="20"/>
        </w:rPr>
        <w:t xml:space="preserve"> </w:t>
      </w:r>
    </w:p>
    <w:p w14:paraId="4AE2A47D" w14:textId="69AE36F4" w:rsidR="000804F6" w:rsidRPr="000A48D0" w:rsidRDefault="000804F6" w:rsidP="000A48D0">
      <w:pPr>
        <w:pStyle w:val="NormalWeb"/>
        <w:spacing w:after="0" w:line="276" w:lineRule="auto"/>
        <w:jc w:val="both"/>
        <w:rPr>
          <w:rFonts w:ascii="Arial" w:hAnsi="Arial" w:cs="Arial"/>
          <w:b/>
          <w:bCs/>
          <w:sz w:val="20"/>
          <w:szCs w:val="20"/>
        </w:rPr>
      </w:pPr>
      <w:r w:rsidRPr="000A48D0">
        <w:rPr>
          <w:rFonts w:ascii="Arial" w:hAnsi="Arial" w:cs="Arial"/>
          <w:b/>
          <w:bCs/>
          <w:sz w:val="20"/>
          <w:szCs w:val="20"/>
        </w:rPr>
        <w:lastRenderedPageBreak/>
        <w:t>Question 3c: What are your views on the effectiveness of the current arrangements in facilitating the efficient development and investment in distribution networks? How might this change under our proposals where network companies are required to fund more of this work?</w:t>
      </w:r>
    </w:p>
    <w:p w14:paraId="5B7F3091" w14:textId="47771493" w:rsidR="00410AE0" w:rsidRPr="000A48D0" w:rsidRDefault="00410AE0" w:rsidP="000A48D0">
      <w:pPr>
        <w:pStyle w:val="NormalWeb"/>
        <w:spacing w:after="0" w:line="276" w:lineRule="auto"/>
        <w:jc w:val="both"/>
        <w:rPr>
          <w:rFonts w:ascii="Arial" w:hAnsi="Arial" w:cs="Arial"/>
          <w:sz w:val="20"/>
          <w:szCs w:val="20"/>
        </w:rPr>
      </w:pPr>
      <w:r w:rsidRPr="000A48D0">
        <w:rPr>
          <w:rFonts w:ascii="Arial" w:hAnsi="Arial" w:cs="Arial"/>
          <w:sz w:val="20"/>
          <w:szCs w:val="20"/>
        </w:rPr>
        <w:t xml:space="preserve">As we mentioned in our answer to question 3b, the current arrangements represent a barrier for current network users. </w:t>
      </w:r>
      <w:r w:rsidR="000E38F7" w:rsidRPr="000A48D0">
        <w:rPr>
          <w:rFonts w:ascii="Arial" w:hAnsi="Arial" w:cs="Arial"/>
          <w:sz w:val="20"/>
          <w:szCs w:val="20"/>
        </w:rPr>
        <w:t xml:space="preserve">We think that this </w:t>
      </w:r>
      <w:r w:rsidR="00367EBD" w:rsidRPr="000A48D0">
        <w:rPr>
          <w:rFonts w:ascii="Arial" w:hAnsi="Arial" w:cs="Arial"/>
          <w:sz w:val="20"/>
          <w:szCs w:val="20"/>
        </w:rPr>
        <w:t xml:space="preserve">new </w:t>
      </w:r>
      <w:r w:rsidR="000E38F7" w:rsidRPr="000A48D0">
        <w:rPr>
          <w:rFonts w:ascii="Arial" w:hAnsi="Arial" w:cs="Arial"/>
          <w:sz w:val="20"/>
          <w:szCs w:val="20"/>
        </w:rPr>
        <w:t xml:space="preserve">proposal will facilitate efficient development and investment in distribution network, allowing network users </w:t>
      </w:r>
      <w:r w:rsidR="00124A07" w:rsidRPr="000A48D0">
        <w:rPr>
          <w:rFonts w:ascii="Arial" w:hAnsi="Arial" w:cs="Arial"/>
          <w:sz w:val="20"/>
          <w:szCs w:val="20"/>
        </w:rPr>
        <w:t xml:space="preserve">to </w:t>
      </w:r>
      <w:r w:rsidR="00AB3359" w:rsidRPr="000A48D0">
        <w:rPr>
          <w:rFonts w:ascii="Arial" w:hAnsi="Arial" w:cs="Arial"/>
          <w:sz w:val="20"/>
          <w:szCs w:val="20"/>
        </w:rPr>
        <w:t xml:space="preserve">invest </w:t>
      </w:r>
      <w:r w:rsidR="005E50D9" w:rsidRPr="000A48D0">
        <w:rPr>
          <w:rFonts w:ascii="Arial" w:hAnsi="Arial" w:cs="Arial"/>
          <w:sz w:val="20"/>
          <w:szCs w:val="20"/>
        </w:rPr>
        <w:t>considering</w:t>
      </w:r>
      <w:r w:rsidR="00AB3359" w:rsidRPr="000A48D0">
        <w:rPr>
          <w:rFonts w:ascii="Arial" w:hAnsi="Arial" w:cs="Arial"/>
          <w:sz w:val="20"/>
          <w:szCs w:val="20"/>
        </w:rPr>
        <w:t xml:space="preserve"> anticipated network needs.</w:t>
      </w:r>
    </w:p>
    <w:p w14:paraId="4EC5A95B" w14:textId="5E50AF55" w:rsidR="00535D9D" w:rsidRPr="000A48D0" w:rsidRDefault="00367EBD" w:rsidP="000A48D0">
      <w:pPr>
        <w:pStyle w:val="NormalWeb"/>
        <w:spacing w:after="0" w:line="276" w:lineRule="auto"/>
        <w:jc w:val="both"/>
        <w:rPr>
          <w:rFonts w:ascii="Arial" w:hAnsi="Arial" w:cs="Arial"/>
          <w:sz w:val="20"/>
          <w:szCs w:val="20"/>
        </w:rPr>
      </w:pPr>
      <w:r w:rsidRPr="000A48D0">
        <w:rPr>
          <w:rFonts w:ascii="Arial" w:hAnsi="Arial" w:cs="Arial"/>
          <w:sz w:val="20"/>
          <w:szCs w:val="20"/>
        </w:rPr>
        <w:t>We also think that this proposal could</w:t>
      </w:r>
      <w:r w:rsidR="00C4161B" w:rsidRPr="000A48D0">
        <w:rPr>
          <w:rFonts w:ascii="Arial" w:hAnsi="Arial" w:cs="Arial"/>
          <w:sz w:val="20"/>
          <w:szCs w:val="20"/>
        </w:rPr>
        <w:t xml:space="preserve"> have some positive consequences to stimulate the use of </w:t>
      </w:r>
      <w:r w:rsidRPr="000A48D0">
        <w:rPr>
          <w:rFonts w:ascii="Arial" w:hAnsi="Arial" w:cs="Arial"/>
          <w:sz w:val="20"/>
          <w:szCs w:val="20"/>
        </w:rPr>
        <w:t xml:space="preserve">flexibility </w:t>
      </w:r>
      <w:r w:rsidR="00C4161B" w:rsidRPr="000A48D0">
        <w:rPr>
          <w:rFonts w:ascii="Arial" w:hAnsi="Arial" w:cs="Arial"/>
          <w:sz w:val="20"/>
          <w:szCs w:val="20"/>
        </w:rPr>
        <w:t xml:space="preserve">across </w:t>
      </w:r>
      <w:r w:rsidRPr="000A48D0">
        <w:rPr>
          <w:rFonts w:ascii="Arial" w:hAnsi="Arial" w:cs="Arial"/>
          <w:sz w:val="20"/>
          <w:szCs w:val="20"/>
        </w:rPr>
        <w:t>DNOs</w:t>
      </w:r>
      <w:r w:rsidR="00C4161B" w:rsidRPr="000A48D0">
        <w:rPr>
          <w:rFonts w:ascii="Arial" w:hAnsi="Arial" w:cs="Arial"/>
          <w:sz w:val="20"/>
          <w:szCs w:val="20"/>
        </w:rPr>
        <w:t xml:space="preserve">, since they </w:t>
      </w:r>
      <w:r w:rsidR="005E50D9" w:rsidRPr="000A48D0">
        <w:rPr>
          <w:rFonts w:ascii="Arial" w:hAnsi="Arial" w:cs="Arial"/>
          <w:sz w:val="20"/>
          <w:szCs w:val="20"/>
        </w:rPr>
        <w:t>can find more efficient way</w:t>
      </w:r>
      <w:r w:rsidR="00124A07" w:rsidRPr="000A48D0">
        <w:rPr>
          <w:rFonts w:ascii="Arial" w:hAnsi="Arial" w:cs="Arial"/>
          <w:sz w:val="20"/>
          <w:szCs w:val="20"/>
        </w:rPr>
        <w:t>s</w:t>
      </w:r>
      <w:r w:rsidR="005E50D9" w:rsidRPr="000A48D0">
        <w:rPr>
          <w:rFonts w:ascii="Arial" w:hAnsi="Arial" w:cs="Arial"/>
          <w:sz w:val="20"/>
          <w:szCs w:val="20"/>
        </w:rPr>
        <w:t xml:space="preserve"> of funding the work needed. </w:t>
      </w:r>
      <w:r w:rsidR="00AE2A27" w:rsidRPr="000A48D0">
        <w:rPr>
          <w:rFonts w:ascii="Arial" w:hAnsi="Arial" w:cs="Arial"/>
          <w:sz w:val="20"/>
          <w:szCs w:val="20"/>
        </w:rPr>
        <w:t>The CEPA-TNEI report that come</w:t>
      </w:r>
      <w:r w:rsidR="00124A07" w:rsidRPr="000A48D0">
        <w:rPr>
          <w:rFonts w:ascii="Arial" w:hAnsi="Arial" w:cs="Arial"/>
          <w:sz w:val="20"/>
          <w:szCs w:val="20"/>
        </w:rPr>
        <w:t>s</w:t>
      </w:r>
      <w:r w:rsidR="00AE2A27" w:rsidRPr="000A48D0">
        <w:rPr>
          <w:rFonts w:ascii="Arial" w:hAnsi="Arial" w:cs="Arial"/>
          <w:sz w:val="20"/>
          <w:szCs w:val="20"/>
        </w:rPr>
        <w:t xml:space="preserve"> alongside the consultation</w:t>
      </w:r>
      <w:r w:rsidR="005E50D9" w:rsidRPr="000A48D0">
        <w:rPr>
          <w:rFonts w:ascii="Arial" w:hAnsi="Arial" w:cs="Arial"/>
          <w:sz w:val="20"/>
          <w:szCs w:val="20"/>
        </w:rPr>
        <w:t xml:space="preserve">, </w:t>
      </w:r>
      <w:r w:rsidR="00AE2A27" w:rsidRPr="000A48D0">
        <w:rPr>
          <w:rFonts w:ascii="Arial" w:hAnsi="Arial" w:cs="Arial"/>
          <w:sz w:val="20"/>
          <w:szCs w:val="20"/>
        </w:rPr>
        <w:t xml:space="preserve">suggests that </w:t>
      </w:r>
      <w:r w:rsidR="00535D9D" w:rsidRPr="000A48D0">
        <w:rPr>
          <w:rFonts w:ascii="Arial" w:hAnsi="Arial" w:cs="Arial"/>
          <w:sz w:val="20"/>
          <w:szCs w:val="20"/>
        </w:rPr>
        <w:t xml:space="preserve">the emergence of flexibility services could help to mitigate some </w:t>
      </w:r>
      <w:r w:rsidR="00AE2A27" w:rsidRPr="000A48D0">
        <w:rPr>
          <w:rFonts w:ascii="Arial" w:hAnsi="Arial" w:cs="Arial"/>
          <w:sz w:val="20"/>
          <w:szCs w:val="20"/>
        </w:rPr>
        <w:t xml:space="preserve">impacts </w:t>
      </w:r>
      <w:r w:rsidR="00535D9D" w:rsidRPr="000A48D0">
        <w:rPr>
          <w:rFonts w:ascii="Arial" w:hAnsi="Arial" w:cs="Arial"/>
          <w:sz w:val="20"/>
          <w:szCs w:val="20"/>
        </w:rPr>
        <w:t>of a shallower connection boundary if changes to connection policy do stimulate the emergence of flexibility markets.</w:t>
      </w:r>
      <w:r w:rsidR="00AE2A27" w:rsidRPr="000A48D0">
        <w:rPr>
          <w:rFonts w:ascii="Arial" w:hAnsi="Arial" w:cs="Arial"/>
          <w:sz w:val="20"/>
          <w:szCs w:val="20"/>
        </w:rPr>
        <w:t xml:space="preserve"> </w:t>
      </w:r>
      <w:r w:rsidR="005E50D9" w:rsidRPr="000A48D0">
        <w:rPr>
          <w:rFonts w:ascii="Arial" w:hAnsi="Arial" w:cs="Arial"/>
          <w:sz w:val="20"/>
          <w:szCs w:val="20"/>
        </w:rPr>
        <w:t>Therefore,</w:t>
      </w:r>
      <w:r w:rsidR="00C4161B" w:rsidRPr="000A48D0">
        <w:rPr>
          <w:rFonts w:ascii="Arial" w:hAnsi="Arial" w:cs="Arial"/>
          <w:sz w:val="20"/>
          <w:szCs w:val="20"/>
        </w:rPr>
        <w:t xml:space="preserve"> we can see that this proposal </w:t>
      </w:r>
      <w:r w:rsidR="00441420" w:rsidRPr="000A48D0">
        <w:rPr>
          <w:rFonts w:ascii="Arial" w:hAnsi="Arial" w:cs="Arial"/>
          <w:sz w:val="20"/>
          <w:szCs w:val="20"/>
        </w:rPr>
        <w:t>combined with a set of</w:t>
      </w:r>
      <w:r w:rsidR="00BB3BFC" w:rsidRPr="000A48D0">
        <w:rPr>
          <w:rFonts w:ascii="Arial" w:hAnsi="Arial" w:cs="Arial"/>
          <w:sz w:val="20"/>
          <w:szCs w:val="20"/>
        </w:rPr>
        <w:t xml:space="preserve"> policies that push the emergence of flexibility services across the UK</w:t>
      </w:r>
      <w:r w:rsidR="00441420" w:rsidRPr="000A48D0">
        <w:rPr>
          <w:rFonts w:ascii="Arial" w:hAnsi="Arial" w:cs="Arial"/>
          <w:sz w:val="20"/>
          <w:szCs w:val="20"/>
        </w:rPr>
        <w:t>, could have positive impact in the smart and flexibly energy system that we expect to have by 2030.</w:t>
      </w:r>
    </w:p>
    <w:p w14:paraId="586340CB" w14:textId="2FDC6F00" w:rsidR="00056AE5" w:rsidRPr="000A48D0" w:rsidRDefault="00056AE5" w:rsidP="000A48D0">
      <w:pPr>
        <w:jc w:val="both"/>
        <w:rPr>
          <w:rFonts w:ascii="Arial" w:eastAsia="Times New Roman" w:hAnsi="Arial" w:cs="Arial"/>
          <w:sz w:val="20"/>
          <w:szCs w:val="20"/>
          <w:lang w:eastAsia="en-GB"/>
        </w:rPr>
      </w:pPr>
      <w:r w:rsidRPr="000A48D0">
        <w:rPr>
          <w:rStyle w:val="CommentReference"/>
          <w:rFonts w:ascii="Arial" w:hAnsi="Arial" w:cs="Arial"/>
          <w:sz w:val="20"/>
          <w:szCs w:val="20"/>
        </w:rPr>
        <w:annotationRef/>
      </w:r>
      <w:r w:rsidR="000E726A" w:rsidRPr="00A13DDC">
        <w:rPr>
          <w:rFonts w:ascii="Arial" w:eastAsia="Times New Roman" w:hAnsi="Arial" w:cs="Arial"/>
          <w:sz w:val="20"/>
          <w:szCs w:val="20"/>
          <w:lang w:eastAsia="en-GB"/>
        </w:rPr>
        <w:t>W</w:t>
      </w:r>
      <w:r w:rsidR="00CA5A11" w:rsidRPr="00A13DDC">
        <w:rPr>
          <w:rFonts w:ascii="Arial" w:eastAsia="Times New Roman" w:hAnsi="Arial" w:cs="Arial"/>
          <w:sz w:val="20"/>
          <w:szCs w:val="20"/>
          <w:lang w:eastAsia="en-GB"/>
        </w:rPr>
        <w:t xml:space="preserve">e would like to note that if network companies (DNOs) </w:t>
      </w:r>
      <w:proofErr w:type="gramStart"/>
      <w:r w:rsidR="00CA5A11" w:rsidRPr="00A13DDC">
        <w:rPr>
          <w:rFonts w:ascii="Arial" w:eastAsia="Times New Roman" w:hAnsi="Arial" w:cs="Arial"/>
          <w:sz w:val="20"/>
          <w:szCs w:val="20"/>
          <w:lang w:eastAsia="en-GB"/>
        </w:rPr>
        <w:t>have to</w:t>
      </w:r>
      <w:proofErr w:type="gramEnd"/>
      <w:r w:rsidR="00CA5A11" w:rsidRPr="00A13DDC">
        <w:rPr>
          <w:rFonts w:ascii="Arial" w:eastAsia="Times New Roman" w:hAnsi="Arial" w:cs="Arial"/>
          <w:sz w:val="20"/>
          <w:szCs w:val="20"/>
          <w:lang w:eastAsia="en-GB"/>
        </w:rPr>
        <w:t xml:space="preserve"> fund the upgrades to the distribution system</w:t>
      </w:r>
      <w:r w:rsidR="00CB1850" w:rsidRPr="00A13DDC">
        <w:rPr>
          <w:rFonts w:ascii="Arial" w:eastAsia="Times New Roman" w:hAnsi="Arial" w:cs="Arial"/>
          <w:sz w:val="20"/>
          <w:szCs w:val="20"/>
          <w:lang w:eastAsia="en-GB"/>
        </w:rPr>
        <w:t>,</w:t>
      </w:r>
      <w:r w:rsidR="00CA5A11" w:rsidRPr="00A13DDC">
        <w:rPr>
          <w:rFonts w:ascii="Arial" w:eastAsia="Times New Roman" w:hAnsi="Arial" w:cs="Arial"/>
          <w:sz w:val="20"/>
          <w:szCs w:val="20"/>
          <w:lang w:eastAsia="en-GB"/>
        </w:rPr>
        <w:t xml:space="preserve"> these upgrades will either be in the RIIO-ED2 business plans or come from a </w:t>
      </w:r>
      <w:r w:rsidR="000E726A" w:rsidRPr="00A13DDC">
        <w:rPr>
          <w:rFonts w:ascii="Arial" w:eastAsia="Times New Roman" w:hAnsi="Arial" w:cs="Arial"/>
          <w:sz w:val="20"/>
          <w:szCs w:val="20"/>
          <w:lang w:eastAsia="en-GB"/>
        </w:rPr>
        <w:t>R</w:t>
      </w:r>
      <w:r w:rsidR="00CA5A11" w:rsidRPr="00A13DDC">
        <w:rPr>
          <w:rFonts w:ascii="Arial" w:eastAsia="Times New Roman" w:hAnsi="Arial" w:cs="Arial"/>
          <w:sz w:val="20"/>
          <w:szCs w:val="20"/>
          <w:lang w:eastAsia="en-GB"/>
        </w:rPr>
        <w:t>e</w:t>
      </w:r>
      <w:r w:rsidR="000E726A" w:rsidRPr="00A13DDC">
        <w:rPr>
          <w:rFonts w:ascii="Arial" w:eastAsia="Times New Roman" w:hAnsi="Arial" w:cs="Arial"/>
          <w:sz w:val="20"/>
          <w:szCs w:val="20"/>
          <w:lang w:eastAsia="en-GB"/>
        </w:rPr>
        <w:t>-</w:t>
      </w:r>
      <w:r w:rsidR="00CA5A11" w:rsidRPr="00A13DDC">
        <w:rPr>
          <w:rFonts w:ascii="Arial" w:eastAsia="Times New Roman" w:hAnsi="Arial" w:cs="Arial"/>
          <w:sz w:val="20"/>
          <w:szCs w:val="20"/>
          <w:lang w:eastAsia="en-GB"/>
        </w:rPr>
        <w:t xml:space="preserve">opener. If they are part of a </w:t>
      </w:r>
      <w:r w:rsidR="000E726A" w:rsidRPr="00A13DDC">
        <w:rPr>
          <w:rFonts w:ascii="Arial" w:eastAsia="Times New Roman" w:hAnsi="Arial" w:cs="Arial"/>
          <w:sz w:val="20"/>
          <w:szCs w:val="20"/>
          <w:lang w:eastAsia="en-GB"/>
        </w:rPr>
        <w:t>R</w:t>
      </w:r>
      <w:r w:rsidR="00CA5A11" w:rsidRPr="00A13DDC">
        <w:rPr>
          <w:rFonts w:ascii="Arial" w:eastAsia="Times New Roman" w:hAnsi="Arial" w:cs="Arial"/>
          <w:sz w:val="20"/>
          <w:szCs w:val="20"/>
          <w:lang w:eastAsia="en-GB"/>
        </w:rPr>
        <w:t>e</w:t>
      </w:r>
      <w:r w:rsidR="000E726A" w:rsidRPr="00A13DDC">
        <w:rPr>
          <w:rFonts w:ascii="Arial" w:eastAsia="Times New Roman" w:hAnsi="Arial" w:cs="Arial"/>
          <w:sz w:val="20"/>
          <w:szCs w:val="20"/>
          <w:lang w:eastAsia="en-GB"/>
        </w:rPr>
        <w:t>-</w:t>
      </w:r>
      <w:r w:rsidR="00CA5A11" w:rsidRPr="00A13DDC">
        <w:rPr>
          <w:rFonts w:ascii="Arial" w:eastAsia="Times New Roman" w:hAnsi="Arial" w:cs="Arial"/>
          <w:sz w:val="20"/>
          <w:szCs w:val="20"/>
          <w:lang w:eastAsia="en-GB"/>
        </w:rPr>
        <w:t>opener</w:t>
      </w:r>
      <w:r w:rsidR="000E726A" w:rsidRPr="00A13DDC">
        <w:rPr>
          <w:rFonts w:ascii="Arial" w:eastAsia="Times New Roman" w:hAnsi="Arial" w:cs="Arial"/>
          <w:sz w:val="20"/>
          <w:szCs w:val="20"/>
          <w:lang w:eastAsia="en-GB"/>
        </w:rPr>
        <w:t>,</w:t>
      </w:r>
      <w:r w:rsidR="00CA5A11" w:rsidRPr="00A13DDC">
        <w:rPr>
          <w:rFonts w:ascii="Arial" w:eastAsia="Times New Roman" w:hAnsi="Arial" w:cs="Arial"/>
          <w:sz w:val="20"/>
          <w:szCs w:val="20"/>
          <w:lang w:eastAsia="en-GB"/>
        </w:rPr>
        <w:t xml:space="preserve"> the Ofgem approval process shouldn't delay the grid investment</w:t>
      </w:r>
      <w:r w:rsidR="000E726A" w:rsidRPr="00A13DDC">
        <w:rPr>
          <w:rFonts w:ascii="Arial" w:eastAsia="Times New Roman" w:hAnsi="Arial" w:cs="Arial"/>
          <w:sz w:val="20"/>
          <w:szCs w:val="20"/>
          <w:lang w:eastAsia="en-GB"/>
        </w:rPr>
        <w:t>. Otherwise,</w:t>
      </w:r>
      <w:r w:rsidR="00CA5A11" w:rsidRPr="00A13DDC">
        <w:rPr>
          <w:rFonts w:ascii="Arial" w:eastAsia="Times New Roman" w:hAnsi="Arial" w:cs="Arial"/>
          <w:sz w:val="20"/>
          <w:szCs w:val="20"/>
          <w:lang w:eastAsia="en-GB"/>
        </w:rPr>
        <w:t xml:space="preserve"> </w:t>
      </w:r>
      <w:r w:rsidR="000E726A" w:rsidRPr="00A13DDC">
        <w:rPr>
          <w:rFonts w:ascii="Arial" w:eastAsia="Times New Roman" w:hAnsi="Arial" w:cs="Arial"/>
          <w:sz w:val="20"/>
          <w:szCs w:val="20"/>
          <w:lang w:eastAsia="en-GB"/>
        </w:rPr>
        <w:t>this</w:t>
      </w:r>
      <w:r w:rsidR="00CA5A11" w:rsidRPr="00A13DDC">
        <w:rPr>
          <w:rFonts w:ascii="Arial" w:eastAsia="Times New Roman" w:hAnsi="Arial" w:cs="Arial"/>
          <w:sz w:val="20"/>
          <w:szCs w:val="20"/>
          <w:lang w:eastAsia="en-GB"/>
        </w:rPr>
        <w:t xml:space="preserve"> could delay the connection (or optimal running) of the renewable assets.</w:t>
      </w:r>
    </w:p>
    <w:p w14:paraId="73CD390E" w14:textId="281578CE" w:rsidR="000804F6" w:rsidRPr="000A48D0" w:rsidRDefault="000804F6" w:rsidP="000A48D0">
      <w:pPr>
        <w:pStyle w:val="NormalWeb"/>
        <w:spacing w:after="0" w:line="276" w:lineRule="auto"/>
        <w:jc w:val="both"/>
        <w:rPr>
          <w:rFonts w:ascii="Arial" w:hAnsi="Arial" w:cs="Arial"/>
          <w:b/>
          <w:bCs/>
          <w:sz w:val="20"/>
          <w:szCs w:val="20"/>
        </w:rPr>
      </w:pPr>
      <w:r w:rsidRPr="000A48D0">
        <w:rPr>
          <w:rFonts w:ascii="Arial" w:hAnsi="Arial" w:cs="Arial"/>
          <w:b/>
          <w:bCs/>
          <w:sz w:val="20"/>
          <w:szCs w:val="20"/>
        </w:rPr>
        <w:t>Question 3d: Do you agree whether the need to provide connection customers with certainty of price reduces the potential for capacity to be provided through other means such as flexibility procurement? How might this change under our proposals?</w:t>
      </w:r>
    </w:p>
    <w:p w14:paraId="5AC82E95" w14:textId="369B135D" w:rsidR="00455A40" w:rsidRPr="000A48D0" w:rsidRDefault="00132512" w:rsidP="000A48D0">
      <w:pPr>
        <w:pStyle w:val="NormalWeb"/>
        <w:spacing w:after="0" w:line="276" w:lineRule="auto"/>
        <w:jc w:val="both"/>
        <w:rPr>
          <w:rFonts w:ascii="Arial" w:hAnsi="Arial" w:cs="Arial"/>
          <w:sz w:val="20"/>
          <w:szCs w:val="20"/>
        </w:rPr>
      </w:pPr>
      <w:r w:rsidRPr="00A13DDC">
        <w:rPr>
          <w:rFonts w:ascii="Arial" w:hAnsi="Arial" w:cs="Arial"/>
          <w:sz w:val="20"/>
          <w:szCs w:val="20"/>
        </w:rPr>
        <w:t>No, i</w:t>
      </w:r>
      <w:r w:rsidR="00455A40" w:rsidRPr="00A13DDC">
        <w:rPr>
          <w:rFonts w:ascii="Arial" w:hAnsi="Arial" w:cs="Arial"/>
          <w:sz w:val="20"/>
          <w:szCs w:val="20"/>
        </w:rPr>
        <w:t>t is our view that that flexibility procurement</w:t>
      </w:r>
      <w:r w:rsidRPr="00A13DDC">
        <w:rPr>
          <w:rFonts w:ascii="Arial" w:hAnsi="Arial" w:cs="Arial"/>
          <w:sz w:val="20"/>
          <w:szCs w:val="20"/>
        </w:rPr>
        <w:t xml:space="preserve"> should be delivered through flexibility markets not charging volatility. Price certainty is critical for renewable investment</w:t>
      </w:r>
      <w:r w:rsidR="0060045A" w:rsidRPr="00A13DDC">
        <w:rPr>
          <w:rFonts w:ascii="Arial" w:hAnsi="Arial" w:cs="Arial"/>
          <w:sz w:val="20"/>
          <w:szCs w:val="20"/>
        </w:rPr>
        <w:t xml:space="preserve"> as g</w:t>
      </w:r>
      <w:r w:rsidRPr="00A13DDC">
        <w:rPr>
          <w:rFonts w:ascii="Arial" w:hAnsi="Arial" w:cs="Arial"/>
          <w:sz w:val="20"/>
          <w:szCs w:val="20"/>
        </w:rPr>
        <w:t xml:space="preserve">reater price certainty leads to lower cost of delivery (and WACC). </w:t>
      </w:r>
      <w:r w:rsidR="0060045A" w:rsidRPr="00A13DDC">
        <w:rPr>
          <w:rFonts w:ascii="Arial" w:hAnsi="Arial" w:cs="Arial"/>
          <w:sz w:val="20"/>
          <w:szCs w:val="20"/>
        </w:rPr>
        <w:t xml:space="preserve">By 2030 and 2050 </w:t>
      </w:r>
      <w:r w:rsidRPr="00A13DDC">
        <w:rPr>
          <w:rFonts w:ascii="Arial" w:hAnsi="Arial" w:cs="Arial"/>
          <w:sz w:val="20"/>
          <w:szCs w:val="20"/>
        </w:rPr>
        <w:t>we need huge volume of renewable generation</w:t>
      </w:r>
      <w:r w:rsidR="0060045A" w:rsidRPr="00A13DDC">
        <w:rPr>
          <w:rFonts w:ascii="Arial" w:hAnsi="Arial" w:cs="Arial"/>
          <w:sz w:val="20"/>
          <w:szCs w:val="20"/>
        </w:rPr>
        <w:t>,</w:t>
      </w:r>
      <w:r w:rsidRPr="00A13DDC">
        <w:rPr>
          <w:rFonts w:ascii="Arial" w:hAnsi="Arial" w:cs="Arial"/>
          <w:sz w:val="20"/>
          <w:szCs w:val="20"/>
        </w:rPr>
        <w:t xml:space="preserve"> </w:t>
      </w:r>
      <w:r w:rsidR="0060045A" w:rsidRPr="00A13DDC">
        <w:rPr>
          <w:rFonts w:ascii="Arial" w:hAnsi="Arial" w:cs="Arial"/>
          <w:sz w:val="20"/>
          <w:szCs w:val="20"/>
        </w:rPr>
        <w:t>so adding volatility of prices will only amplify the risk for investors, risk that ultimately will be place</w:t>
      </w:r>
      <w:r w:rsidR="00CB1850" w:rsidRPr="00A13DDC">
        <w:rPr>
          <w:rFonts w:ascii="Arial" w:hAnsi="Arial" w:cs="Arial"/>
          <w:sz w:val="20"/>
          <w:szCs w:val="20"/>
        </w:rPr>
        <w:t>d</w:t>
      </w:r>
      <w:r w:rsidR="0060045A" w:rsidRPr="00A13DDC">
        <w:rPr>
          <w:rFonts w:ascii="Arial" w:hAnsi="Arial" w:cs="Arial"/>
          <w:sz w:val="20"/>
          <w:szCs w:val="20"/>
        </w:rPr>
        <w:t xml:space="preserve"> onto consumers to pay.</w:t>
      </w:r>
    </w:p>
    <w:p w14:paraId="3CC24411" w14:textId="6E1E57B0" w:rsidR="00681870" w:rsidRDefault="000804F6" w:rsidP="000A48D0">
      <w:pPr>
        <w:pStyle w:val="NormalWeb"/>
        <w:spacing w:before="0" w:beforeAutospacing="0" w:after="0" w:afterAutospacing="0" w:line="276" w:lineRule="auto"/>
        <w:jc w:val="both"/>
        <w:rPr>
          <w:rFonts w:ascii="Arial" w:hAnsi="Arial" w:cs="Arial"/>
          <w:b/>
          <w:bCs/>
          <w:sz w:val="20"/>
          <w:szCs w:val="20"/>
        </w:rPr>
      </w:pPr>
      <w:r w:rsidRPr="000A48D0">
        <w:rPr>
          <w:rFonts w:ascii="Arial" w:hAnsi="Arial" w:cs="Arial"/>
          <w:b/>
          <w:bCs/>
          <w:sz w:val="20"/>
          <w:szCs w:val="20"/>
        </w:rPr>
        <w:t xml:space="preserve">Question 3e: What are your views on whether we should retain the </w:t>
      </w:r>
      <w:proofErr w:type="gramStart"/>
      <w:r w:rsidRPr="000A48D0">
        <w:rPr>
          <w:rFonts w:ascii="Arial" w:hAnsi="Arial" w:cs="Arial"/>
          <w:b/>
          <w:bCs/>
          <w:sz w:val="20"/>
          <w:szCs w:val="20"/>
        </w:rPr>
        <w:t>High Cost</w:t>
      </w:r>
      <w:proofErr w:type="gramEnd"/>
      <w:r w:rsidRPr="000A48D0">
        <w:rPr>
          <w:rFonts w:ascii="Arial" w:hAnsi="Arial" w:cs="Arial"/>
          <w:b/>
          <w:bCs/>
          <w:sz w:val="20"/>
          <w:szCs w:val="20"/>
        </w:rPr>
        <w:t xml:space="preserve"> Cap? Is there a case for reviewing its interaction with the voltage rule if customers no longer contribute to reinforcement at the voltage level above the point of connection?</w:t>
      </w:r>
    </w:p>
    <w:p w14:paraId="1D16E9C2" w14:textId="131283D5" w:rsidR="00217ED4" w:rsidRDefault="00217ED4" w:rsidP="000A48D0">
      <w:pPr>
        <w:pStyle w:val="NormalWeb"/>
        <w:spacing w:before="0" w:beforeAutospacing="0" w:after="0" w:afterAutospacing="0" w:line="276" w:lineRule="auto"/>
        <w:jc w:val="both"/>
        <w:rPr>
          <w:rFonts w:ascii="Arial" w:hAnsi="Arial" w:cs="Arial"/>
          <w:b/>
          <w:bCs/>
          <w:sz w:val="20"/>
          <w:szCs w:val="20"/>
        </w:rPr>
      </w:pPr>
    </w:p>
    <w:p w14:paraId="48583960" w14:textId="5DE153B0" w:rsidR="00217ED4" w:rsidRPr="00217ED4" w:rsidRDefault="00217ED4" w:rsidP="000A48D0">
      <w:pPr>
        <w:pStyle w:val="NormalWeb"/>
        <w:spacing w:before="0" w:beforeAutospacing="0" w:after="0" w:afterAutospacing="0" w:line="276" w:lineRule="auto"/>
        <w:jc w:val="both"/>
        <w:rPr>
          <w:rFonts w:ascii="Arial" w:hAnsi="Arial" w:cs="Arial"/>
          <w:sz w:val="20"/>
          <w:szCs w:val="20"/>
        </w:rPr>
      </w:pPr>
      <w:r w:rsidRPr="00217ED4">
        <w:rPr>
          <w:rFonts w:ascii="Arial" w:hAnsi="Arial" w:cs="Arial"/>
          <w:sz w:val="20"/>
          <w:szCs w:val="20"/>
        </w:rPr>
        <w:t>No comments.</w:t>
      </w:r>
    </w:p>
    <w:p w14:paraId="03B92FCF" w14:textId="063459CE" w:rsidR="000804F6" w:rsidRPr="000A48D0" w:rsidRDefault="000804F6" w:rsidP="000A48D0">
      <w:pPr>
        <w:pStyle w:val="NormalWeb"/>
        <w:spacing w:line="276" w:lineRule="auto"/>
        <w:jc w:val="both"/>
        <w:rPr>
          <w:rFonts w:ascii="Arial" w:hAnsi="Arial" w:cs="Arial"/>
          <w:b/>
          <w:bCs/>
          <w:sz w:val="20"/>
          <w:szCs w:val="20"/>
        </w:rPr>
      </w:pPr>
      <w:r w:rsidRPr="000A48D0">
        <w:rPr>
          <w:rFonts w:ascii="Arial" w:hAnsi="Arial" w:cs="Arial"/>
          <w:b/>
          <w:bCs/>
          <w:sz w:val="20"/>
          <w:szCs w:val="20"/>
        </w:rPr>
        <w:t>Question3f: What are your views on the recovery of the costs associated with transmission that are triggered by a distribution connection? Does this need to be considered alongside wider charging reforms or could a change be made independently?</w:t>
      </w:r>
    </w:p>
    <w:p w14:paraId="41018BAA" w14:textId="77777777" w:rsidR="00B87615" w:rsidRPr="000A48D0" w:rsidRDefault="00B87615" w:rsidP="000A48D0">
      <w:pPr>
        <w:spacing w:after="160"/>
        <w:jc w:val="both"/>
        <w:rPr>
          <w:rFonts w:ascii="Arial" w:hAnsi="Arial" w:cs="Arial"/>
          <w:sz w:val="20"/>
          <w:szCs w:val="20"/>
        </w:rPr>
      </w:pPr>
      <w:r w:rsidRPr="000A48D0">
        <w:rPr>
          <w:rFonts w:ascii="Arial" w:hAnsi="Arial" w:cs="Arial"/>
          <w:sz w:val="20"/>
          <w:szCs w:val="20"/>
        </w:rPr>
        <w:t xml:space="preserve">This disproportionately and unduly disadvantages Scottish </w:t>
      </w:r>
      <w:proofErr w:type="spellStart"/>
      <w:r w:rsidRPr="000A48D0">
        <w:rPr>
          <w:rFonts w:ascii="Arial" w:hAnsi="Arial" w:cs="Arial"/>
          <w:sz w:val="20"/>
          <w:szCs w:val="20"/>
        </w:rPr>
        <w:t>connectees</w:t>
      </w:r>
      <w:proofErr w:type="spellEnd"/>
      <w:r w:rsidRPr="000A48D0">
        <w:rPr>
          <w:rFonts w:ascii="Arial" w:hAnsi="Arial" w:cs="Arial"/>
          <w:sz w:val="20"/>
          <w:szCs w:val="20"/>
        </w:rPr>
        <w:t>, owing to the lower voltage boundary between transmission and distribution. Consider two connections, alike in physics and engineering, at an HV or EHV level and each triggering 132kV substation reinforcement – in England &amp; Wales this connection will receive no reinforcement cost signal whereas in Scotland the user will be liable for the full cost in advance for the 132kV substation reinforcement. This distortion already exists but is made worse by the proposed change in connection boundary. Acknowledging the SHEPD and SPD “DG heat maps”, it can be seen that a significant majority of 132kV “GSP” substations across Scotland are close to or at their capacity to accommodate further generation, which means that this problem is material.</w:t>
      </w:r>
    </w:p>
    <w:p w14:paraId="167EDEAC" w14:textId="7357C987" w:rsidR="00B87615" w:rsidRPr="000A48D0" w:rsidRDefault="00B87615" w:rsidP="000A48D0">
      <w:pPr>
        <w:spacing w:after="160"/>
        <w:jc w:val="both"/>
        <w:rPr>
          <w:rFonts w:ascii="Arial" w:hAnsi="Arial" w:cs="Arial"/>
          <w:sz w:val="20"/>
          <w:szCs w:val="20"/>
        </w:rPr>
      </w:pPr>
      <w:r w:rsidRPr="000A48D0">
        <w:rPr>
          <w:rFonts w:ascii="Arial" w:hAnsi="Arial" w:cs="Arial"/>
          <w:sz w:val="20"/>
          <w:szCs w:val="20"/>
        </w:rPr>
        <w:t>To meet the deployment rates of new renewables stipulated in FES or CCC’s carbon budget, a solution to this distortion is necessarily a priority. Two options available are to either (</w:t>
      </w:r>
      <w:proofErr w:type="spellStart"/>
      <w:r w:rsidRPr="000A48D0">
        <w:rPr>
          <w:rFonts w:ascii="Arial" w:hAnsi="Arial" w:cs="Arial"/>
          <w:sz w:val="20"/>
          <w:szCs w:val="20"/>
        </w:rPr>
        <w:t>i</w:t>
      </w:r>
      <w:proofErr w:type="spellEnd"/>
      <w:r w:rsidRPr="000A48D0">
        <w:rPr>
          <w:rFonts w:ascii="Arial" w:hAnsi="Arial" w:cs="Arial"/>
          <w:sz w:val="20"/>
          <w:szCs w:val="20"/>
        </w:rPr>
        <w:t xml:space="preserve">) bring the application of costs </w:t>
      </w:r>
      <w:r w:rsidRPr="000A48D0">
        <w:rPr>
          <w:rFonts w:ascii="Arial" w:hAnsi="Arial" w:cs="Arial"/>
          <w:sz w:val="20"/>
          <w:szCs w:val="20"/>
        </w:rPr>
        <w:lastRenderedPageBreak/>
        <w:t>of transmission reinforcement triggered by distribution users more in line with the allocation of higher-voltage distribution reinforcements, or (ii) reconsider how onshore 132kV circuits are treated under connection charging methodologies to bring better alignment.</w:t>
      </w:r>
    </w:p>
    <w:p w14:paraId="5C01D9D6" w14:textId="04B68288" w:rsidR="00E2016F" w:rsidRPr="000A48D0" w:rsidRDefault="00AE74B1" w:rsidP="000A48D0">
      <w:pPr>
        <w:spacing w:after="160"/>
        <w:jc w:val="both"/>
        <w:rPr>
          <w:rFonts w:ascii="Arial" w:hAnsi="Arial" w:cs="Arial"/>
          <w:sz w:val="20"/>
          <w:szCs w:val="20"/>
        </w:rPr>
      </w:pPr>
      <w:r w:rsidRPr="000A48D0">
        <w:rPr>
          <w:rFonts w:ascii="Arial" w:hAnsi="Arial" w:cs="Arial"/>
          <w:sz w:val="20"/>
          <w:szCs w:val="20"/>
        </w:rPr>
        <w:t>We think that these changes must be considered separately</w:t>
      </w:r>
      <w:r w:rsidR="00723984">
        <w:rPr>
          <w:rFonts w:ascii="Arial" w:hAnsi="Arial" w:cs="Arial"/>
          <w:sz w:val="20"/>
          <w:szCs w:val="20"/>
        </w:rPr>
        <w:t>,</w:t>
      </w:r>
      <w:r w:rsidRPr="000A48D0">
        <w:rPr>
          <w:rFonts w:ascii="Arial" w:hAnsi="Arial" w:cs="Arial"/>
          <w:sz w:val="20"/>
          <w:szCs w:val="20"/>
        </w:rPr>
        <w:t xml:space="preserve"> </w:t>
      </w:r>
      <w:r w:rsidR="00D00BFE" w:rsidRPr="000A48D0">
        <w:rPr>
          <w:rFonts w:ascii="Arial" w:hAnsi="Arial" w:cs="Arial"/>
          <w:sz w:val="20"/>
          <w:szCs w:val="20"/>
        </w:rPr>
        <w:t>in parallel with a</w:t>
      </w:r>
      <w:r w:rsidRPr="000A48D0">
        <w:rPr>
          <w:rFonts w:ascii="Arial" w:hAnsi="Arial" w:cs="Arial"/>
          <w:sz w:val="20"/>
          <w:szCs w:val="20"/>
        </w:rPr>
        <w:t xml:space="preserve"> wider review of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w:t>
      </w:r>
      <w:r w:rsidR="003760A8" w:rsidRPr="000A48D0">
        <w:rPr>
          <w:rFonts w:ascii="Arial" w:hAnsi="Arial" w:cs="Arial"/>
          <w:sz w:val="20"/>
          <w:szCs w:val="20"/>
        </w:rPr>
        <w:t>I</w:t>
      </w:r>
      <w:r w:rsidR="007A7413" w:rsidRPr="000A48D0">
        <w:rPr>
          <w:rFonts w:ascii="Arial" w:hAnsi="Arial" w:cs="Arial"/>
          <w:sz w:val="20"/>
          <w:szCs w:val="20"/>
        </w:rPr>
        <w:t xml:space="preserve">f Ofgem </w:t>
      </w:r>
      <w:r w:rsidRPr="000A48D0">
        <w:rPr>
          <w:rFonts w:ascii="Arial" w:hAnsi="Arial" w:cs="Arial"/>
          <w:sz w:val="20"/>
          <w:szCs w:val="20"/>
        </w:rPr>
        <w:t>introduce</w:t>
      </w:r>
      <w:r w:rsidR="007A7413" w:rsidRPr="000A48D0">
        <w:rPr>
          <w:rFonts w:ascii="Arial" w:hAnsi="Arial" w:cs="Arial"/>
          <w:sz w:val="20"/>
          <w:szCs w:val="20"/>
        </w:rPr>
        <w:t>s</w:t>
      </w:r>
      <w:r w:rsidRPr="000A48D0">
        <w:rPr>
          <w:rFonts w:ascii="Arial" w:hAnsi="Arial" w:cs="Arial"/>
          <w:sz w:val="20"/>
          <w:szCs w:val="20"/>
        </w:rPr>
        <w:t xml:space="preserve"> </w:t>
      </w:r>
      <w:proofErr w:type="spellStart"/>
      <w:r w:rsidR="008B3B87" w:rsidRPr="000A48D0">
        <w:rPr>
          <w:rFonts w:ascii="Arial" w:hAnsi="Arial" w:cs="Arial"/>
          <w:sz w:val="20"/>
          <w:szCs w:val="20"/>
        </w:rPr>
        <w:t>TNUoS</w:t>
      </w:r>
      <w:proofErr w:type="spellEnd"/>
      <w:r w:rsidR="008B3B87" w:rsidRPr="000A48D0">
        <w:rPr>
          <w:rFonts w:ascii="Arial" w:hAnsi="Arial" w:cs="Arial"/>
          <w:sz w:val="20"/>
          <w:szCs w:val="20"/>
        </w:rPr>
        <w:t xml:space="preserve"> </w:t>
      </w:r>
      <w:r w:rsidRPr="000A48D0">
        <w:rPr>
          <w:rFonts w:ascii="Arial" w:hAnsi="Arial" w:cs="Arial"/>
          <w:sz w:val="20"/>
          <w:szCs w:val="20"/>
        </w:rPr>
        <w:t>charges for SDG</w:t>
      </w:r>
      <w:r w:rsidR="007A7413" w:rsidRPr="000A48D0">
        <w:rPr>
          <w:rFonts w:ascii="Arial" w:hAnsi="Arial" w:cs="Arial"/>
          <w:sz w:val="20"/>
          <w:szCs w:val="20"/>
        </w:rPr>
        <w:t>,</w:t>
      </w:r>
      <w:r w:rsidRPr="000A48D0">
        <w:rPr>
          <w:rFonts w:ascii="Arial" w:hAnsi="Arial" w:cs="Arial"/>
          <w:sz w:val="20"/>
          <w:szCs w:val="20"/>
        </w:rPr>
        <w:t xml:space="preserve"> </w:t>
      </w:r>
      <w:r w:rsidR="007A7413" w:rsidRPr="000A48D0">
        <w:rPr>
          <w:rFonts w:ascii="Arial" w:hAnsi="Arial" w:cs="Arial"/>
          <w:sz w:val="20"/>
          <w:szCs w:val="20"/>
        </w:rPr>
        <w:t xml:space="preserve">these users could also face higher costs compared to those </w:t>
      </w:r>
      <w:r w:rsidR="003760A8" w:rsidRPr="000A48D0">
        <w:rPr>
          <w:rFonts w:ascii="Arial" w:hAnsi="Arial" w:cs="Arial"/>
          <w:sz w:val="20"/>
          <w:szCs w:val="20"/>
        </w:rPr>
        <w:t>on</w:t>
      </w:r>
      <w:r w:rsidR="007A7413" w:rsidRPr="000A48D0">
        <w:rPr>
          <w:rFonts w:ascii="Arial" w:hAnsi="Arial" w:cs="Arial"/>
          <w:sz w:val="20"/>
          <w:szCs w:val="20"/>
        </w:rPr>
        <w:t xml:space="preserve"> transmission. </w:t>
      </w:r>
      <w:r w:rsidR="00735013" w:rsidRPr="000A48D0">
        <w:rPr>
          <w:rFonts w:ascii="Arial" w:hAnsi="Arial" w:cs="Arial"/>
          <w:sz w:val="20"/>
          <w:szCs w:val="20"/>
        </w:rPr>
        <w:t>SDG</w:t>
      </w:r>
      <w:r w:rsidR="007A7413" w:rsidRPr="000A48D0">
        <w:rPr>
          <w:rFonts w:ascii="Arial" w:hAnsi="Arial" w:cs="Arial"/>
          <w:sz w:val="20"/>
          <w:szCs w:val="20"/>
        </w:rPr>
        <w:t xml:space="preserve"> would face the same ongoing network charges, but also an upfront connection charge in relation to transmission costs that a transmission connected generator would instead pay over several years. This could </w:t>
      </w:r>
      <w:r w:rsidR="0046642D" w:rsidRPr="000A48D0">
        <w:rPr>
          <w:rFonts w:ascii="Arial" w:hAnsi="Arial" w:cs="Arial"/>
          <w:sz w:val="20"/>
          <w:szCs w:val="20"/>
        </w:rPr>
        <w:t xml:space="preserve">lead to a </w:t>
      </w:r>
      <w:r w:rsidR="00D00BFE" w:rsidRPr="000A48D0">
        <w:rPr>
          <w:rFonts w:ascii="Arial" w:hAnsi="Arial" w:cs="Arial"/>
          <w:sz w:val="20"/>
          <w:szCs w:val="20"/>
        </w:rPr>
        <w:t xml:space="preserve">further </w:t>
      </w:r>
      <w:r w:rsidR="0046642D" w:rsidRPr="000A48D0">
        <w:rPr>
          <w:rFonts w:ascii="Arial" w:hAnsi="Arial" w:cs="Arial"/>
          <w:sz w:val="20"/>
          <w:szCs w:val="20"/>
        </w:rPr>
        <w:t xml:space="preserve">distortion </w:t>
      </w:r>
      <w:r w:rsidR="007A7413" w:rsidRPr="000A48D0">
        <w:rPr>
          <w:rFonts w:ascii="Arial" w:hAnsi="Arial" w:cs="Arial"/>
          <w:sz w:val="20"/>
          <w:szCs w:val="20"/>
        </w:rPr>
        <w:t>between transmission and distribution connected generation.</w:t>
      </w:r>
    </w:p>
    <w:p w14:paraId="726BCBF9" w14:textId="28546A4B" w:rsidR="000804F6" w:rsidRDefault="000804F6" w:rsidP="000A48D0">
      <w:pPr>
        <w:pStyle w:val="NormalWeb"/>
        <w:spacing w:after="0" w:line="276" w:lineRule="auto"/>
        <w:jc w:val="both"/>
        <w:rPr>
          <w:rFonts w:ascii="Arial" w:hAnsi="Arial" w:cs="Arial"/>
          <w:b/>
          <w:bCs/>
          <w:sz w:val="20"/>
          <w:szCs w:val="20"/>
        </w:rPr>
      </w:pPr>
      <w:r w:rsidRPr="000A48D0">
        <w:rPr>
          <w:rFonts w:ascii="Arial" w:hAnsi="Arial" w:cs="Arial"/>
          <w:b/>
          <w:bCs/>
          <w:sz w:val="20"/>
          <w:szCs w:val="20"/>
        </w:rPr>
        <w:t>Question 3g: What are your views on the likelihood of inefficient investment under our proposals (e.g., an increase in project cancellations after some investment has been made)? Are there good arguments for further considering introducing liabilities and securities to mitigate this risk?</w:t>
      </w:r>
    </w:p>
    <w:p w14:paraId="497E938A" w14:textId="21336E6C" w:rsidR="00217ED4" w:rsidRPr="00217ED4" w:rsidRDefault="00217ED4" w:rsidP="000A48D0">
      <w:pPr>
        <w:pStyle w:val="NormalWeb"/>
        <w:spacing w:after="0" w:line="276" w:lineRule="auto"/>
        <w:jc w:val="both"/>
        <w:rPr>
          <w:rFonts w:ascii="Arial" w:hAnsi="Arial" w:cs="Arial"/>
          <w:sz w:val="20"/>
          <w:szCs w:val="20"/>
        </w:rPr>
      </w:pPr>
      <w:r w:rsidRPr="00217ED4">
        <w:rPr>
          <w:rFonts w:ascii="Arial" w:hAnsi="Arial" w:cs="Arial"/>
          <w:sz w:val="20"/>
          <w:szCs w:val="20"/>
        </w:rPr>
        <w:t>No comments.</w:t>
      </w:r>
    </w:p>
    <w:p w14:paraId="383780CA" w14:textId="4D1FDEB4" w:rsidR="000804F6" w:rsidRDefault="000804F6" w:rsidP="000A48D0">
      <w:pPr>
        <w:pStyle w:val="NormalWeb"/>
        <w:spacing w:before="0" w:beforeAutospacing="0" w:after="0" w:afterAutospacing="0" w:line="276" w:lineRule="auto"/>
        <w:jc w:val="both"/>
        <w:rPr>
          <w:rFonts w:ascii="Arial" w:hAnsi="Arial" w:cs="Arial"/>
          <w:b/>
          <w:bCs/>
          <w:sz w:val="20"/>
          <w:szCs w:val="20"/>
        </w:rPr>
      </w:pPr>
      <w:r w:rsidRPr="000A48D0">
        <w:rPr>
          <w:rFonts w:ascii="Arial" w:hAnsi="Arial" w:cs="Arial"/>
          <w:b/>
          <w:bCs/>
          <w:sz w:val="20"/>
          <w:szCs w:val="20"/>
        </w:rPr>
        <w:t xml:space="preserve">Question 3h: What are your views on whether the interactions between our connection reforms and the ECCRs must be resolved before we are able to implement our proposed reforms? How do you factor in the effects of the ECCRs (if at all) into decision making, given the levels of uncertainty around subsequent </w:t>
      </w:r>
      <w:proofErr w:type="spellStart"/>
      <w:r w:rsidRPr="000A48D0">
        <w:rPr>
          <w:rFonts w:ascii="Arial" w:hAnsi="Arial" w:cs="Arial"/>
          <w:b/>
          <w:bCs/>
          <w:sz w:val="20"/>
          <w:szCs w:val="20"/>
        </w:rPr>
        <w:t>connectee</w:t>
      </w:r>
      <w:proofErr w:type="spellEnd"/>
      <w:r w:rsidRPr="000A48D0">
        <w:rPr>
          <w:rFonts w:ascii="Arial" w:hAnsi="Arial" w:cs="Arial"/>
          <w:b/>
          <w:bCs/>
          <w:sz w:val="20"/>
          <w:szCs w:val="20"/>
        </w:rPr>
        <w:t>(s)? What suggestions do you have to make our policy and the ECCRs work together most efficiently?</w:t>
      </w:r>
    </w:p>
    <w:p w14:paraId="5AAF8571" w14:textId="1A9F2907" w:rsidR="00217ED4" w:rsidRDefault="00217ED4" w:rsidP="000A48D0">
      <w:pPr>
        <w:pStyle w:val="NormalWeb"/>
        <w:spacing w:before="0" w:beforeAutospacing="0" w:after="0" w:afterAutospacing="0" w:line="276" w:lineRule="auto"/>
        <w:jc w:val="both"/>
        <w:rPr>
          <w:rFonts w:ascii="Arial" w:hAnsi="Arial" w:cs="Arial"/>
          <w:b/>
          <w:bCs/>
          <w:sz w:val="20"/>
          <w:szCs w:val="20"/>
        </w:rPr>
      </w:pPr>
    </w:p>
    <w:p w14:paraId="66F5B760" w14:textId="2514A6C7" w:rsidR="00217ED4" w:rsidRPr="00217ED4" w:rsidRDefault="00217ED4" w:rsidP="000A48D0">
      <w:pPr>
        <w:pStyle w:val="NormalWeb"/>
        <w:spacing w:before="0" w:beforeAutospacing="0" w:after="0" w:afterAutospacing="0" w:line="276" w:lineRule="auto"/>
        <w:jc w:val="both"/>
        <w:rPr>
          <w:rFonts w:ascii="Arial" w:hAnsi="Arial" w:cs="Arial"/>
          <w:sz w:val="20"/>
          <w:szCs w:val="20"/>
        </w:rPr>
      </w:pPr>
      <w:r w:rsidRPr="00217ED4">
        <w:rPr>
          <w:rFonts w:ascii="Arial" w:hAnsi="Arial" w:cs="Arial"/>
          <w:sz w:val="20"/>
          <w:szCs w:val="20"/>
        </w:rPr>
        <w:t>No comments.</w:t>
      </w:r>
    </w:p>
    <w:p w14:paraId="52355E88" w14:textId="64786331" w:rsidR="000804F6" w:rsidRPr="000A48D0" w:rsidRDefault="000804F6" w:rsidP="000A48D0">
      <w:pPr>
        <w:pStyle w:val="NormalWeb"/>
        <w:spacing w:before="0" w:beforeAutospacing="0" w:after="0" w:afterAutospacing="0" w:line="276" w:lineRule="auto"/>
        <w:jc w:val="both"/>
        <w:rPr>
          <w:rFonts w:ascii="Arial" w:hAnsi="Arial" w:cs="Arial"/>
          <w:b/>
          <w:bCs/>
          <w:sz w:val="20"/>
          <w:szCs w:val="20"/>
        </w:rPr>
      </w:pPr>
    </w:p>
    <w:p w14:paraId="79823C31" w14:textId="386EEB2E" w:rsidR="000804F6" w:rsidRPr="000A48D0" w:rsidRDefault="000804F6" w:rsidP="000A48D0">
      <w:pPr>
        <w:pStyle w:val="NormalWeb"/>
        <w:spacing w:before="0" w:beforeAutospacing="0" w:after="0" w:afterAutospacing="0" w:line="276" w:lineRule="auto"/>
        <w:jc w:val="both"/>
        <w:rPr>
          <w:rFonts w:ascii="Arial" w:hAnsi="Arial" w:cs="Arial"/>
          <w:b/>
          <w:bCs/>
          <w:sz w:val="20"/>
          <w:szCs w:val="20"/>
          <w:u w:val="single"/>
        </w:rPr>
      </w:pPr>
      <w:r w:rsidRPr="000A48D0">
        <w:rPr>
          <w:rFonts w:ascii="Arial" w:hAnsi="Arial" w:cs="Arial"/>
          <w:b/>
          <w:bCs/>
          <w:sz w:val="20"/>
          <w:szCs w:val="20"/>
          <w:u w:val="single"/>
        </w:rPr>
        <w:t>Access rights</w:t>
      </w:r>
    </w:p>
    <w:p w14:paraId="141C1FB4" w14:textId="15F90479" w:rsidR="000804F6" w:rsidRPr="000A48D0" w:rsidRDefault="000804F6" w:rsidP="000A48D0">
      <w:pPr>
        <w:pStyle w:val="NormalWeb"/>
        <w:spacing w:before="0" w:beforeAutospacing="0" w:after="0" w:afterAutospacing="0" w:line="276" w:lineRule="auto"/>
        <w:jc w:val="center"/>
        <w:rPr>
          <w:rFonts w:ascii="Arial" w:hAnsi="Arial" w:cs="Arial"/>
          <w:b/>
          <w:bCs/>
          <w:sz w:val="20"/>
          <w:szCs w:val="20"/>
        </w:rPr>
      </w:pPr>
    </w:p>
    <w:p w14:paraId="07FF1673" w14:textId="1BCE93CA" w:rsidR="000804F6" w:rsidRPr="000A48D0"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4a: Do you agree with our proposal to introduce better defined non-firm access choices at distribution? Do you have comments on their proposed design? </w:t>
      </w:r>
    </w:p>
    <w:p w14:paraId="2F7EBA8B" w14:textId="77777777" w:rsidR="003D5666" w:rsidRPr="000A48D0" w:rsidRDefault="003D5666" w:rsidP="000A48D0">
      <w:pPr>
        <w:autoSpaceDE w:val="0"/>
        <w:autoSpaceDN w:val="0"/>
        <w:adjustRightInd w:val="0"/>
        <w:spacing w:after="0"/>
        <w:jc w:val="both"/>
        <w:rPr>
          <w:rFonts w:ascii="Arial" w:hAnsi="Arial" w:cs="Arial"/>
          <w:color w:val="000000"/>
          <w:sz w:val="20"/>
          <w:szCs w:val="20"/>
        </w:rPr>
      </w:pPr>
    </w:p>
    <w:p w14:paraId="2F974D36" w14:textId="4A178EEF" w:rsidR="00426537" w:rsidRPr="000A48D0" w:rsidRDefault="003D5666" w:rsidP="000A48D0">
      <w:pPr>
        <w:autoSpaceDE w:val="0"/>
        <w:autoSpaceDN w:val="0"/>
        <w:adjustRightInd w:val="0"/>
        <w:spacing w:after="0"/>
        <w:jc w:val="both"/>
        <w:rPr>
          <w:rFonts w:ascii="Arial" w:hAnsi="Arial" w:cs="Arial"/>
          <w:color w:val="000000"/>
          <w:sz w:val="20"/>
          <w:szCs w:val="20"/>
        </w:rPr>
      </w:pPr>
      <w:r w:rsidRPr="00A13DDC">
        <w:rPr>
          <w:rFonts w:ascii="Arial" w:hAnsi="Arial" w:cs="Arial"/>
          <w:color w:val="000000"/>
          <w:sz w:val="20"/>
          <w:szCs w:val="20"/>
        </w:rPr>
        <w:t>We think that a better defined non-firm access</w:t>
      </w:r>
      <w:r w:rsidR="00426537" w:rsidRPr="00A13DDC">
        <w:rPr>
          <w:rFonts w:ascii="Arial" w:hAnsi="Arial" w:cs="Arial"/>
          <w:color w:val="000000"/>
          <w:sz w:val="20"/>
          <w:szCs w:val="20"/>
        </w:rPr>
        <w:t xml:space="preserve"> without being able to clearly forecast and understand the levels of curtailment is not very helpful. Embedded generators</w:t>
      </w:r>
      <w:r w:rsidR="001F6B1E" w:rsidRPr="00A13DDC">
        <w:rPr>
          <w:rFonts w:ascii="Arial" w:hAnsi="Arial" w:cs="Arial"/>
          <w:color w:val="000000"/>
          <w:sz w:val="20"/>
          <w:szCs w:val="20"/>
        </w:rPr>
        <w:t xml:space="preserve"> </w:t>
      </w:r>
      <w:r w:rsidR="00426537" w:rsidRPr="00A13DDC">
        <w:rPr>
          <w:rFonts w:ascii="Arial" w:hAnsi="Arial" w:cs="Arial"/>
          <w:color w:val="000000"/>
          <w:sz w:val="20"/>
          <w:szCs w:val="20"/>
        </w:rPr>
        <w:t>need financial firm access rights</w:t>
      </w:r>
      <w:r w:rsidR="00D17AC9" w:rsidRPr="00A13DDC">
        <w:rPr>
          <w:rFonts w:ascii="Arial" w:hAnsi="Arial" w:cs="Arial"/>
          <w:color w:val="000000"/>
          <w:sz w:val="20"/>
          <w:szCs w:val="20"/>
        </w:rPr>
        <w:t xml:space="preserve"> </w:t>
      </w:r>
      <w:r w:rsidR="001F6B1E" w:rsidRPr="00A13DDC">
        <w:rPr>
          <w:rFonts w:ascii="Arial" w:hAnsi="Arial" w:cs="Arial"/>
          <w:color w:val="000000"/>
          <w:sz w:val="20"/>
          <w:szCs w:val="20"/>
        </w:rPr>
        <w:t>and for this they need to know when curtailment is likely to happen. For example, a solar project that experience</w:t>
      </w:r>
      <w:r w:rsidR="00CB1850" w:rsidRPr="00A13DDC">
        <w:rPr>
          <w:rFonts w:ascii="Arial" w:hAnsi="Arial" w:cs="Arial"/>
          <w:color w:val="000000"/>
          <w:sz w:val="20"/>
          <w:szCs w:val="20"/>
        </w:rPr>
        <w:t>s</w:t>
      </w:r>
      <w:r w:rsidR="001F6B1E" w:rsidRPr="00A13DDC">
        <w:rPr>
          <w:rFonts w:ascii="Arial" w:hAnsi="Arial" w:cs="Arial"/>
          <w:color w:val="000000"/>
          <w:sz w:val="20"/>
          <w:szCs w:val="20"/>
        </w:rPr>
        <w:t xml:space="preserve"> </w:t>
      </w:r>
      <w:r w:rsidR="00130923" w:rsidRPr="00A13DDC">
        <w:rPr>
          <w:rFonts w:ascii="Arial" w:hAnsi="Arial" w:cs="Arial"/>
          <w:color w:val="000000"/>
          <w:sz w:val="20"/>
          <w:szCs w:val="20"/>
        </w:rPr>
        <w:t>a %</w:t>
      </w:r>
      <w:r w:rsidR="001F6B1E" w:rsidRPr="00A13DDC">
        <w:rPr>
          <w:rFonts w:ascii="Arial" w:hAnsi="Arial" w:cs="Arial"/>
          <w:color w:val="000000"/>
          <w:sz w:val="20"/>
          <w:szCs w:val="20"/>
        </w:rPr>
        <w:t xml:space="preserve"> of curtailment during the night</w:t>
      </w:r>
      <w:r w:rsidR="00130923" w:rsidRPr="00A13DDC">
        <w:rPr>
          <w:rFonts w:ascii="Arial" w:hAnsi="Arial" w:cs="Arial"/>
          <w:color w:val="000000"/>
          <w:sz w:val="20"/>
          <w:szCs w:val="20"/>
        </w:rPr>
        <w:t xml:space="preserve"> or day </w:t>
      </w:r>
      <w:r w:rsidR="001F6B1E" w:rsidRPr="00A13DDC">
        <w:rPr>
          <w:rFonts w:ascii="Arial" w:hAnsi="Arial" w:cs="Arial"/>
          <w:color w:val="000000"/>
          <w:sz w:val="20"/>
          <w:szCs w:val="20"/>
        </w:rPr>
        <w:t xml:space="preserve">will have </w:t>
      </w:r>
      <w:r w:rsidR="00130923" w:rsidRPr="00A13DDC">
        <w:rPr>
          <w:rFonts w:ascii="Arial" w:hAnsi="Arial" w:cs="Arial"/>
          <w:color w:val="000000"/>
          <w:sz w:val="20"/>
          <w:szCs w:val="20"/>
        </w:rPr>
        <w:t xml:space="preserve">a completely different </w:t>
      </w:r>
      <w:r w:rsidR="001F6B1E" w:rsidRPr="00A13DDC">
        <w:rPr>
          <w:rFonts w:ascii="Arial" w:hAnsi="Arial" w:cs="Arial"/>
          <w:color w:val="000000"/>
          <w:sz w:val="20"/>
          <w:szCs w:val="20"/>
        </w:rPr>
        <w:t>impact in value</w:t>
      </w:r>
      <w:r w:rsidR="00130923" w:rsidRPr="00A13DDC">
        <w:rPr>
          <w:rFonts w:ascii="Arial" w:hAnsi="Arial" w:cs="Arial"/>
          <w:color w:val="000000"/>
          <w:sz w:val="20"/>
          <w:szCs w:val="20"/>
        </w:rPr>
        <w:t xml:space="preserve">. Similarly for wind, which has </w:t>
      </w:r>
      <w:r w:rsidR="00CB1850" w:rsidRPr="00A13DDC">
        <w:rPr>
          <w:rFonts w:ascii="Arial" w:hAnsi="Arial" w:cs="Arial"/>
          <w:color w:val="000000"/>
          <w:sz w:val="20"/>
          <w:szCs w:val="20"/>
        </w:rPr>
        <w:t xml:space="preserve">a </w:t>
      </w:r>
      <w:r w:rsidR="00130923" w:rsidRPr="00A13DDC">
        <w:rPr>
          <w:rFonts w:ascii="Arial" w:hAnsi="Arial" w:cs="Arial"/>
          <w:color w:val="000000"/>
          <w:sz w:val="20"/>
          <w:szCs w:val="20"/>
        </w:rPr>
        <w:t xml:space="preserve">more random generation profile than solar, </w:t>
      </w:r>
      <w:r w:rsidR="00CF55D2" w:rsidRPr="00A13DDC">
        <w:rPr>
          <w:rFonts w:ascii="Arial" w:hAnsi="Arial" w:cs="Arial"/>
          <w:color w:val="000000"/>
          <w:sz w:val="20"/>
          <w:szCs w:val="20"/>
        </w:rPr>
        <w:t xml:space="preserve">detailed information will need to be given for analysis of when such % of curtailment </w:t>
      </w:r>
      <w:r w:rsidR="00130923" w:rsidRPr="00A13DDC">
        <w:rPr>
          <w:rFonts w:ascii="Arial" w:hAnsi="Arial" w:cs="Arial"/>
          <w:color w:val="000000"/>
          <w:sz w:val="20"/>
          <w:szCs w:val="20"/>
        </w:rPr>
        <w:t>could happen.</w:t>
      </w:r>
      <w:r w:rsidR="00130923" w:rsidRPr="000A48D0">
        <w:rPr>
          <w:rFonts w:ascii="Arial" w:hAnsi="Arial" w:cs="Arial"/>
          <w:color w:val="000000"/>
          <w:sz w:val="20"/>
          <w:szCs w:val="20"/>
        </w:rPr>
        <w:t xml:space="preserve"> </w:t>
      </w:r>
    </w:p>
    <w:p w14:paraId="2E922D7C" w14:textId="77777777" w:rsidR="003D5666" w:rsidRPr="000A48D0" w:rsidRDefault="003D5666" w:rsidP="000A48D0">
      <w:pPr>
        <w:autoSpaceDE w:val="0"/>
        <w:autoSpaceDN w:val="0"/>
        <w:adjustRightInd w:val="0"/>
        <w:spacing w:after="0"/>
        <w:jc w:val="both"/>
        <w:rPr>
          <w:rFonts w:ascii="Arial" w:hAnsi="Arial" w:cs="Arial"/>
          <w:b/>
          <w:bCs/>
          <w:color w:val="000000"/>
          <w:sz w:val="20"/>
          <w:szCs w:val="20"/>
        </w:rPr>
      </w:pPr>
    </w:p>
    <w:p w14:paraId="09FBCC05" w14:textId="450A1346" w:rsidR="00A74737" w:rsidRPr="000A48D0" w:rsidRDefault="00A74737"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4b: Do you agree with our proposal to introduce new time-profiled access choices at distribution? Do you have any comments on their proposed design? </w:t>
      </w:r>
    </w:p>
    <w:p w14:paraId="25DC6C3C" w14:textId="77777777" w:rsidR="00A74737" w:rsidRPr="000A48D0" w:rsidRDefault="00A74737" w:rsidP="000A48D0">
      <w:pPr>
        <w:autoSpaceDE w:val="0"/>
        <w:autoSpaceDN w:val="0"/>
        <w:adjustRightInd w:val="0"/>
        <w:spacing w:after="0"/>
        <w:jc w:val="both"/>
        <w:rPr>
          <w:rFonts w:ascii="Arial" w:hAnsi="Arial" w:cs="Arial"/>
          <w:color w:val="000000"/>
          <w:sz w:val="20"/>
          <w:szCs w:val="20"/>
        </w:rPr>
      </w:pPr>
    </w:p>
    <w:p w14:paraId="4C545CA3" w14:textId="75A48EE0" w:rsidR="00E1574A" w:rsidRPr="000A48D0" w:rsidRDefault="003D5666" w:rsidP="000A48D0">
      <w:pPr>
        <w:autoSpaceDE w:val="0"/>
        <w:autoSpaceDN w:val="0"/>
        <w:adjustRightInd w:val="0"/>
        <w:spacing w:after="0"/>
        <w:jc w:val="both"/>
        <w:rPr>
          <w:rFonts w:ascii="Arial" w:hAnsi="Arial" w:cs="Arial"/>
          <w:sz w:val="20"/>
          <w:szCs w:val="20"/>
        </w:rPr>
      </w:pPr>
      <w:r w:rsidRPr="000A48D0">
        <w:rPr>
          <w:rFonts w:ascii="Arial" w:hAnsi="Arial" w:cs="Arial"/>
          <w:color w:val="000000"/>
          <w:sz w:val="20"/>
          <w:szCs w:val="20"/>
        </w:rPr>
        <w:t>A</w:t>
      </w:r>
      <w:r w:rsidR="00A74737" w:rsidRPr="000A48D0">
        <w:rPr>
          <w:rFonts w:ascii="Arial" w:hAnsi="Arial" w:cs="Arial"/>
          <w:color w:val="000000"/>
          <w:sz w:val="20"/>
          <w:szCs w:val="20"/>
        </w:rPr>
        <w:t xml:space="preserve"> new time profiled access</w:t>
      </w:r>
      <w:r w:rsidR="00CF3485" w:rsidRPr="000A48D0">
        <w:rPr>
          <w:rFonts w:ascii="Arial" w:hAnsi="Arial" w:cs="Arial"/>
          <w:color w:val="000000"/>
          <w:sz w:val="20"/>
          <w:szCs w:val="20"/>
        </w:rPr>
        <w:t xml:space="preserve"> choices</w:t>
      </w:r>
      <w:r w:rsidR="00A74737" w:rsidRPr="000A48D0">
        <w:rPr>
          <w:rFonts w:ascii="Arial" w:hAnsi="Arial" w:cs="Arial"/>
          <w:color w:val="000000"/>
          <w:sz w:val="20"/>
          <w:szCs w:val="20"/>
        </w:rPr>
        <w:t xml:space="preserve"> will bring </w:t>
      </w:r>
      <w:r w:rsidR="00A74737" w:rsidRPr="000A48D0">
        <w:rPr>
          <w:rFonts w:ascii="Arial" w:hAnsi="Arial" w:cs="Arial"/>
          <w:sz w:val="20"/>
          <w:szCs w:val="20"/>
        </w:rPr>
        <w:t>some benefits in relation to the speed and simplicity of connections.</w:t>
      </w:r>
      <w:r w:rsidR="00A74737" w:rsidRPr="000A48D0">
        <w:rPr>
          <w:rFonts w:ascii="Arial" w:hAnsi="Arial" w:cs="Arial"/>
          <w:color w:val="000000"/>
          <w:sz w:val="20"/>
          <w:szCs w:val="20"/>
        </w:rPr>
        <w:t xml:space="preserve"> We not</w:t>
      </w:r>
      <w:r w:rsidR="00B35908" w:rsidRPr="000A48D0">
        <w:rPr>
          <w:rFonts w:ascii="Arial" w:hAnsi="Arial" w:cs="Arial"/>
          <w:color w:val="000000"/>
          <w:sz w:val="20"/>
          <w:szCs w:val="20"/>
        </w:rPr>
        <w:t>e</w:t>
      </w:r>
      <w:r w:rsidR="00A74737" w:rsidRPr="000A48D0">
        <w:rPr>
          <w:rFonts w:ascii="Arial" w:hAnsi="Arial" w:cs="Arial"/>
          <w:color w:val="000000"/>
          <w:sz w:val="20"/>
          <w:szCs w:val="20"/>
        </w:rPr>
        <w:t xml:space="preserve"> that this proposal could allow some parties to connect more </w:t>
      </w:r>
      <w:proofErr w:type="gramStart"/>
      <w:r w:rsidR="00A74737" w:rsidRPr="000A48D0">
        <w:rPr>
          <w:rFonts w:ascii="Arial" w:hAnsi="Arial" w:cs="Arial"/>
          <w:color w:val="000000"/>
          <w:sz w:val="20"/>
          <w:szCs w:val="20"/>
        </w:rPr>
        <w:t>quickly, if</w:t>
      </w:r>
      <w:proofErr w:type="gramEnd"/>
      <w:r w:rsidR="00A74737" w:rsidRPr="000A48D0">
        <w:rPr>
          <w:rFonts w:ascii="Arial" w:hAnsi="Arial" w:cs="Arial"/>
          <w:color w:val="000000"/>
          <w:sz w:val="20"/>
          <w:szCs w:val="20"/>
        </w:rPr>
        <w:t xml:space="preserve"> they can clearly signal that they do not require capacity in periods of peak network loading. </w:t>
      </w:r>
      <w:r w:rsidR="006C5A63" w:rsidRPr="000A48D0">
        <w:rPr>
          <w:rFonts w:ascii="Arial" w:hAnsi="Arial" w:cs="Arial"/>
          <w:color w:val="000000"/>
          <w:sz w:val="20"/>
          <w:szCs w:val="20"/>
        </w:rPr>
        <w:t xml:space="preserve">However, Ofgem is not proposing to do anything with </w:t>
      </w:r>
      <w:proofErr w:type="spellStart"/>
      <w:r w:rsidR="006C5A63" w:rsidRPr="000A48D0">
        <w:rPr>
          <w:rFonts w:ascii="Arial" w:hAnsi="Arial" w:cs="Arial"/>
          <w:color w:val="000000"/>
          <w:sz w:val="20"/>
          <w:szCs w:val="20"/>
        </w:rPr>
        <w:t>DUoS</w:t>
      </w:r>
      <w:proofErr w:type="spellEnd"/>
      <w:r w:rsidR="003C7FF8" w:rsidRPr="000A48D0">
        <w:rPr>
          <w:rFonts w:ascii="Arial" w:hAnsi="Arial" w:cs="Arial"/>
          <w:color w:val="000000"/>
          <w:sz w:val="20"/>
          <w:szCs w:val="20"/>
        </w:rPr>
        <w:t xml:space="preserve">, which makes </w:t>
      </w:r>
      <w:r w:rsidR="00435A79" w:rsidRPr="000A48D0">
        <w:rPr>
          <w:rFonts w:ascii="Arial" w:hAnsi="Arial" w:cs="Arial"/>
          <w:color w:val="000000"/>
          <w:sz w:val="20"/>
          <w:szCs w:val="20"/>
        </w:rPr>
        <w:t xml:space="preserve">it </w:t>
      </w:r>
      <w:r w:rsidR="006C5A63" w:rsidRPr="000A48D0">
        <w:rPr>
          <w:rFonts w:ascii="Arial" w:hAnsi="Arial" w:cs="Arial"/>
          <w:color w:val="000000"/>
          <w:sz w:val="20"/>
          <w:szCs w:val="20"/>
        </w:rPr>
        <w:t>very difficult to assess the final outcomes of this proposal</w:t>
      </w:r>
      <w:r w:rsidR="003C7FF8" w:rsidRPr="000A48D0">
        <w:rPr>
          <w:rFonts w:ascii="Arial" w:hAnsi="Arial" w:cs="Arial"/>
          <w:color w:val="000000"/>
          <w:sz w:val="20"/>
          <w:szCs w:val="20"/>
        </w:rPr>
        <w:t>.</w:t>
      </w:r>
      <w:r w:rsidR="00A74737" w:rsidRPr="000A48D0">
        <w:rPr>
          <w:rFonts w:ascii="Arial" w:hAnsi="Arial" w:cs="Arial"/>
          <w:color w:val="000000"/>
          <w:sz w:val="20"/>
          <w:szCs w:val="20"/>
        </w:rPr>
        <w:t xml:space="preserve"> </w:t>
      </w:r>
    </w:p>
    <w:p w14:paraId="0C45E09D" w14:textId="77777777" w:rsidR="00B62A52" w:rsidRPr="000A48D0" w:rsidRDefault="00B62A52" w:rsidP="000A48D0">
      <w:pPr>
        <w:autoSpaceDE w:val="0"/>
        <w:autoSpaceDN w:val="0"/>
        <w:adjustRightInd w:val="0"/>
        <w:spacing w:after="0"/>
        <w:jc w:val="both"/>
        <w:rPr>
          <w:rFonts w:ascii="Arial" w:hAnsi="Arial" w:cs="Arial"/>
          <w:b/>
          <w:bCs/>
          <w:color w:val="000000"/>
          <w:sz w:val="20"/>
          <w:szCs w:val="20"/>
        </w:rPr>
      </w:pPr>
    </w:p>
    <w:p w14:paraId="6D1E8F74" w14:textId="244EEB39" w:rsidR="000804F6"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4c: Can you identify any benefits to shared access rights, which would indicate we have underestimated the likely take-up? </w:t>
      </w:r>
    </w:p>
    <w:p w14:paraId="02A2B5C3" w14:textId="3723BB54" w:rsidR="00217ED4" w:rsidRDefault="00217ED4" w:rsidP="000A48D0">
      <w:pPr>
        <w:autoSpaceDE w:val="0"/>
        <w:autoSpaceDN w:val="0"/>
        <w:adjustRightInd w:val="0"/>
        <w:spacing w:after="0"/>
        <w:jc w:val="both"/>
        <w:rPr>
          <w:rFonts w:ascii="Arial" w:hAnsi="Arial" w:cs="Arial"/>
          <w:b/>
          <w:bCs/>
          <w:color w:val="000000"/>
          <w:sz w:val="20"/>
          <w:szCs w:val="20"/>
        </w:rPr>
      </w:pPr>
    </w:p>
    <w:p w14:paraId="70D655EA" w14:textId="0997854E" w:rsidR="00217ED4" w:rsidRPr="00217ED4" w:rsidRDefault="00217ED4" w:rsidP="000A48D0">
      <w:pPr>
        <w:autoSpaceDE w:val="0"/>
        <w:autoSpaceDN w:val="0"/>
        <w:adjustRightInd w:val="0"/>
        <w:spacing w:after="0"/>
        <w:jc w:val="both"/>
        <w:rPr>
          <w:rFonts w:ascii="Arial" w:hAnsi="Arial" w:cs="Arial"/>
          <w:color w:val="000000"/>
          <w:sz w:val="20"/>
          <w:szCs w:val="20"/>
        </w:rPr>
      </w:pPr>
      <w:r w:rsidRPr="00217ED4">
        <w:rPr>
          <w:rFonts w:ascii="Arial" w:hAnsi="Arial" w:cs="Arial"/>
          <w:color w:val="000000"/>
          <w:sz w:val="20"/>
          <w:szCs w:val="20"/>
        </w:rPr>
        <w:t>No comments.</w:t>
      </w:r>
    </w:p>
    <w:p w14:paraId="13DD9BC5" w14:textId="77777777" w:rsidR="000804F6" w:rsidRPr="000A48D0" w:rsidRDefault="000804F6" w:rsidP="000A48D0">
      <w:pPr>
        <w:autoSpaceDE w:val="0"/>
        <w:autoSpaceDN w:val="0"/>
        <w:adjustRightInd w:val="0"/>
        <w:spacing w:after="0"/>
        <w:jc w:val="both"/>
        <w:rPr>
          <w:rFonts w:ascii="Arial" w:hAnsi="Arial" w:cs="Arial"/>
          <w:b/>
          <w:bCs/>
          <w:color w:val="000000"/>
          <w:sz w:val="20"/>
          <w:szCs w:val="20"/>
        </w:rPr>
      </w:pPr>
    </w:p>
    <w:p w14:paraId="48723CEB" w14:textId="55E4175A" w:rsidR="000804F6"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lastRenderedPageBreak/>
        <w:t>Question 4d: Do you have any comment on our proposed choice about how to reflect access rights in charges (</w:t>
      </w:r>
      <w:proofErr w:type="gramStart"/>
      <w:r w:rsidRPr="000A48D0">
        <w:rPr>
          <w:rFonts w:ascii="Arial" w:hAnsi="Arial" w:cs="Arial"/>
          <w:b/>
          <w:bCs/>
          <w:color w:val="000000"/>
          <w:sz w:val="20"/>
          <w:szCs w:val="20"/>
        </w:rPr>
        <w:t>i.e.</w:t>
      </w:r>
      <w:proofErr w:type="gramEnd"/>
      <w:r w:rsidRPr="000A48D0">
        <w:rPr>
          <w:rFonts w:ascii="Arial" w:hAnsi="Arial" w:cs="Arial"/>
          <w:b/>
          <w:bCs/>
          <w:color w:val="000000"/>
          <w:sz w:val="20"/>
          <w:szCs w:val="20"/>
        </w:rPr>
        <w:t xml:space="preserve"> connection and/or distribution use of system charges)? </w:t>
      </w:r>
    </w:p>
    <w:p w14:paraId="2A60BC67" w14:textId="77777777" w:rsidR="00217ED4" w:rsidRPr="000A48D0" w:rsidRDefault="00217ED4" w:rsidP="000A48D0">
      <w:pPr>
        <w:autoSpaceDE w:val="0"/>
        <w:autoSpaceDN w:val="0"/>
        <w:adjustRightInd w:val="0"/>
        <w:spacing w:after="0"/>
        <w:jc w:val="both"/>
        <w:rPr>
          <w:rFonts w:ascii="Arial" w:hAnsi="Arial" w:cs="Arial"/>
          <w:b/>
          <w:bCs/>
          <w:color w:val="000000"/>
          <w:sz w:val="20"/>
          <w:szCs w:val="20"/>
        </w:rPr>
      </w:pPr>
    </w:p>
    <w:p w14:paraId="1A28BE90" w14:textId="5C2873B0" w:rsidR="000804F6" w:rsidRPr="00217ED4" w:rsidRDefault="00217ED4" w:rsidP="000A48D0">
      <w:pPr>
        <w:autoSpaceDE w:val="0"/>
        <w:autoSpaceDN w:val="0"/>
        <w:adjustRightInd w:val="0"/>
        <w:spacing w:after="0"/>
        <w:jc w:val="both"/>
        <w:rPr>
          <w:rFonts w:ascii="Arial" w:hAnsi="Arial" w:cs="Arial"/>
          <w:color w:val="000000"/>
          <w:sz w:val="20"/>
          <w:szCs w:val="20"/>
        </w:rPr>
      </w:pPr>
      <w:r w:rsidRPr="00217ED4">
        <w:rPr>
          <w:rFonts w:ascii="Arial" w:hAnsi="Arial" w:cs="Arial"/>
          <w:color w:val="000000"/>
          <w:sz w:val="20"/>
          <w:szCs w:val="20"/>
        </w:rPr>
        <w:t>No comments.</w:t>
      </w:r>
    </w:p>
    <w:p w14:paraId="16EB1097" w14:textId="77777777" w:rsidR="00217ED4" w:rsidRPr="000A48D0" w:rsidRDefault="00217ED4" w:rsidP="000A48D0">
      <w:pPr>
        <w:autoSpaceDE w:val="0"/>
        <w:autoSpaceDN w:val="0"/>
        <w:adjustRightInd w:val="0"/>
        <w:spacing w:after="0"/>
        <w:jc w:val="both"/>
        <w:rPr>
          <w:rFonts w:ascii="Arial" w:hAnsi="Arial" w:cs="Arial"/>
          <w:b/>
          <w:bCs/>
          <w:color w:val="000000"/>
          <w:sz w:val="20"/>
          <w:szCs w:val="20"/>
        </w:rPr>
      </w:pPr>
    </w:p>
    <w:p w14:paraId="6197CCE0" w14:textId="52E828AD" w:rsidR="000804F6"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4e: Do you agree with our proposal to not prioritise the introduction of new transmission access choices as part of this Significant Code Review? </w:t>
      </w:r>
    </w:p>
    <w:p w14:paraId="2F6D5B0D" w14:textId="114AD246" w:rsidR="00217ED4" w:rsidRDefault="00217ED4" w:rsidP="000A48D0">
      <w:pPr>
        <w:autoSpaceDE w:val="0"/>
        <w:autoSpaceDN w:val="0"/>
        <w:adjustRightInd w:val="0"/>
        <w:spacing w:after="0"/>
        <w:jc w:val="both"/>
        <w:rPr>
          <w:rFonts w:ascii="Arial" w:hAnsi="Arial" w:cs="Arial"/>
          <w:b/>
          <w:bCs/>
          <w:color w:val="000000"/>
          <w:sz w:val="20"/>
          <w:szCs w:val="20"/>
        </w:rPr>
      </w:pPr>
    </w:p>
    <w:p w14:paraId="7E718504" w14:textId="6565BB86" w:rsidR="00217ED4" w:rsidRPr="00217ED4" w:rsidRDefault="00217ED4" w:rsidP="000A48D0">
      <w:pPr>
        <w:autoSpaceDE w:val="0"/>
        <w:autoSpaceDN w:val="0"/>
        <w:adjustRightInd w:val="0"/>
        <w:spacing w:after="0"/>
        <w:jc w:val="both"/>
        <w:rPr>
          <w:rFonts w:ascii="Arial" w:hAnsi="Arial" w:cs="Arial"/>
          <w:color w:val="000000"/>
          <w:sz w:val="20"/>
          <w:szCs w:val="20"/>
        </w:rPr>
      </w:pPr>
      <w:r w:rsidRPr="00217ED4">
        <w:rPr>
          <w:rFonts w:ascii="Arial" w:hAnsi="Arial" w:cs="Arial"/>
          <w:color w:val="000000"/>
          <w:sz w:val="20"/>
          <w:szCs w:val="20"/>
        </w:rPr>
        <w:t>No comments.</w:t>
      </w:r>
    </w:p>
    <w:p w14:paraId="703AAFB8" w14:textId="77777777" w:rsidR="000804F6" w:rsidRPr="000A48D0" w:rsidRDefault="000804F6" w:rsidP="000A48D0">
      <w:pPr>
        <w:autoSpaceDE w:val="0"/>
        <w:autoSpaceDN w:val="0"/>
        <w:adjustRightInd w:val="0"/>
        <w:spacing w:after="0"/>
        <w:jc w:val="both"/>
        <w:rPr>
          <w:rFonts w:ascii="Arial" w:hAnsi="Arial" w:cs="Arial"/>
          <w:b/>
          <w:bCs/>
          <w:color w:val="000000"/>
          <w:sz w:val="20"/>
          <w:szCs w:val="20"/>
        </w:rPr>
      </w:pPr>
    </w:p>
    <w:p w14:paraId="179B8E7C" w14:textId="16742B25" w:rsidR="000804F6" w:rsidRPr="000A48D0"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4f: Do you have views on how access rights should be standardised across DNOs? </w:t>
      </w:r>
    </w:p>
    <w:p w14:paraId="01A7E351" w14:textId="477DBCA5" w:rsidR="000804F6" w:rsidRDefault="000804F6" w:rsidP="000A48D0">
      <w:pPr>
        <w:autoSpaceDE w:val="0"/>
        <w:autoSpaceDN w:val="0"/>
        <w:adjustRightInd w:val="0"/>
        <w:spacing w:after="0"/>
        <w:jc w:val="both"/>
        <w:rPr>
          <w:rFonts w:ascii="Arial" w:hAnsi="Arial" w:cs="Arial"/>
          <w:b/>
          <w:bCs/>
          <w:color w:val="000000"/>
          <w:sz w:val="20"/>
          <w:szCs w:val="20"/>
        </w:rPr>
      </w:pPr>
    </w:p>
    <w:p w14:paraId="45670A7C" w14:textId="77777777" w:rsidR="00217ED4" w:rsidRPr="00217ED4" w:rsidRDefault="00217ED4" w:rsidP="00217ED4">
      <w:pPr>
        <w:autoSpaceDE w:val="0"/>
        <w:autoSpaceDN w:val="0"/>
        <w:adjustRightInd w:val="0"/>
        <w:spacing w:after="0"/>
        <w:jc w:val="both"/>
        <w:rPr>
          <w:rFonts w:ascii="Arial" w:hAnsi="Arial" w:cs="Arial"/>
          <w:color w:val="000000"/>
          <w:sz w:val="20"/>
          <w:szCs w:val="20"/>
        </w:rPr>
      </w:pPr>
      <w:r w:rsidRPr="00217ED4">
        <w:rPr>
          <w:rFonts w:ascii="Arial" w:hAnsi="Arial" w:cs="Arial"/>
          <w:color w:val="000000"/>
          <w:sz w:val="20"/>
          <w:szCs w:val="20"/>
        </w:rPr>
        <w:t>No comments.</w:t>
      </w:r>
    </w:p>
    <w:p w14:paraId="3DBAE16E" w14:textId="77777777" w:rsidR="00217ED4" w:rsidRPr="000A48D0" w:rsidRDefault="00217ED4" w:rsidP="000A48D0">
      <w:pPr>
        <w:autoSpaceDE w:val="0"/>
        <w:autoSpaceDN w:val="0"/>
        <w:adjustRightInd w:val="0"/>
        <w:spacing w:after="0"/>
        <w:jc w:val="both"/>
        <w:rPr>
          <w:rFonts w:ascii="Arial" w:hAnsi="Arial" w:cs="Arial"/>
          <w:b/>
          <w:bCs/>
          <w:color w:val="000000"/>
          <w:sz w:val="20"/>
          <w:szCs w:val="20"/>
        </w:rPr>
      </w:pPr>
    </w:p>
    <w:p w14:paraId="0D2D65C2" w14:textId="20C848BC" w:rsidR="000804F6" w:rsidRPr="000A48D0" w:rsidRDefault="000804F6" w:rsidP="000A48D0">
      <w:pPr>
        <w:pStyle w:val="NormalWeb"/>
        <w:spacing w:before="0" w:beforeAutospacing="0" w:after="0" w:afterAutospacing="0" w:line="276" w:lineRule="auto"/>
        <w:jc w:val="both"/>
        <w:rPr>
          <w:rFonts w:ascii="Arial" w:hAnsi="Arial" w:cs="Arial"/>
          <w:b/>
          <w:bCs/>
          <w:color w:val="000000"/>
          <w:sz w:val="20"/>
          <w:szCs w:val="20"/>
        </w:rPr>
      </w:pPr>
      <w:r w:rsidRPr="000A48D0">
        <w:rPr>
          <w:rFonts w:ascii="Arial" w:hAnsi="Arial" w:cs="Arial"/>
          <w:b/>
          <w:bCs/>
          <w:color w:val="000000"/>
          <w:sz w:val="20"/>
          <w:szCs w:val="20"/>
        </w:rPr>
        <w:t xml:space="preserve">Question 4g: Do you have any views on our proposed timescale of 1 April 2023 implementation? </w:t>
      </w:r>
    </w:p>
    <w:p w14:paraId="3E9B1184" w14:textId="452DE9B6" w:rsidR="000804F6" w:rsidRPr="000A48D0" w:rsidRDefault="000804F6" w:rsidP="000A48D0">
      <w:pPr>
        <w:pStyle w:val="NormalWeb"/>
        <w:spacing w:before="0" w:beforeAutospacing="0" w:after="0" w:afterAutospacing="0" w:line="276" w:lineRule="auto"/>
        <w:jc w:val="both"/>
        <w:rPr>
          <w:rFonts w:ascii="Arial" w:hAnsi="Arial" w:cs="Arial"/>
          <w:b/>
          <w:bCs/>
          <w:color w:val="000000"/>
          <w:sz w:val="20"/>
          <w:szCs w:val="20"/>
        </w:rPr>
      </w:pPr>
    </w:p>
    <w:p w14:paraId="0D6BD778" w14:textId="36E10D57" w:rsidR="00EF6E08" w:rsidRPr="000A48D0" w:rsidRDefault="00EF6E08" w:rsidP="000A48D0">
      <w:pPr>
        <w:pStyle w:val="NormalWeb"/>
        <w:spacing w:before="0" w:beforeAutospacing="0" w:after="0" w:afterAutospacing="0" w:line="276" w:lineRule="auto"/>
        <w:jc w:val="both"/>
        <w:rPr>
          <w:rFonts w:ascii="Arial" w:hAnsi="Arial" w:cs="Arial"/>
          <w:color w:val="000000"/>
          <w:sz w:val="20"/>
          <w:szCs w:val="20"/>
        </w:rPr>
      </w:pPr>
      <w:r w:rsidRPr="000A48D0">
        <w:rPr>
          <w:rFonts w:ascii="Arial" w:hAnsi="Arial" w:cs="Arial"/>
          <w:color w:val="000000"/>
          <w:sz w:val="20"/>
          <w:szCs w:val="20"/>
        </w:rPr>
        <w:t xml:space="preserve">Assuming this is only referring to Access right implementation, this timeline is acceptable. Although,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Charges for SDG should either be delayed and/or grandfathered.</w:t>
      </w:r>
    </w:p>
    <w:p w14:paraId="02A9BFC0" w14:textId="77777777" w:rsidR="00EF6E08" w:rsidRPr="000A48D0" w:rsidRDefault="00EF6E08" w:rsidP="000A48D0">
      <w:pPr>
        <w:pStyle w:val="NormalWeb"/>
        <w:spacing w:before="0" w:beforeAutospacing="0" w:after="0" w:afterAutospacing="0" w:line="276" w:lineRule="auto"/>
        <w:jc w:val="both"/>
        <w:rPr>
          <w:rFonts w:ascii="Arial" w:hAnsi="Arial" w:cs="Arial"/>
          <w:b/>
          <w:bCs/>
          <w:color w:val="000000"/>
          <w:sz w:val="20"/>
          <w:szCs w:val="20"/>
        </w:rPr>
      </w:pPr>
    </w:p>
    <w:p w14:paraId="1E7FD73C" w14:textId="0DF514C4" w:rsidR="000804F6" w:rsidRPr="000A48D0" w:rsidRDefault="000804F6" w:rsidP="000A48D0">
      <w:pPr>
        <w:pStyle w:val="NormalWeb"/>
        <w:spacing w:before="0" w:beforeAutospacing="0" w:after="0" w:afterAutospacing="0" w:line="276" w:lineRule="auto"/>
        <w:jc w:val="both"/>
        <w:rPr>
          <w:rFonts w:ascii="Arial" w:hAnsi="Arial" w:cs="Arial"/>
          <w:b/>
          <w:bCs/>
          <w:color w:val="000000"/>
          <w:sz w:val="20"/>
          <w:szCs w:val="20"/>
          <w:u w:val="single"/>
        </w:rPr>
      </w:pPr>
      <w:proofErr w:type="spellStart"/>
      <w:r w:rsidRPr="000A48D0">
        <w:rPr>
          <w:rFonts w:ascii="Arial" w:hAnsi="Arial" w:cs="Arial"/>
          <w:b/>
          <w:bCs/>
          <w:color w:val="000000"/>
          <w:sz w:val="20"/>
          <w:szCs w:val="20"/>
          <w:u w:val="single"/>
        </w:rPr>
        <w:t>TN</w:t>
      </w:r>
      <w:r w:rsidR="00B62A52" w:rsidRPr="000A48D0">
        <w:rPr>
          <w:rFonts w:ascii="Arial" w:hAnsi="Arial" w:cs="Arial"/>
          <w:b/>
          <w:bCs/>
          <w:color w:val="000000"/>
          <w:sz w:val="20"/>
          <w:szCs w:val="20"/>
          <w:u w:val="single"/>
        </w:rPr>
        <w:t>Uo</w:t>
      </w:r>
      <w:r w:rsidRPr="000A48D0">
        <w:rPr>
          <w:rFonts w:ascii="Arial" w:hAnsi="Arial" w:cs="Arial"/>
          <w:b/>
          <w:bCs/>
          <w:color w:val="000000"/>
          <w:sz w:val="20"/>
          <w:szCs w:val="20"/>
          <w:u w:val="single"/>
        </w:rPr>
        <w:t>S</w:t>
      </w:r>
      <w:proofErr w:type="spellEnd"/>
      <w:r w:rsidRPr="000A48D0">
        <w:rPr>
          <w:rFonts w:ascii="Arial" w:hAnsi="Arial" w:cs="Arial"/>
          <w:b/>
          <w:bCs/>
          <w:color w:val="000000"/>
          <w:sz w:val="20"/>
          <w:szCs w:val="20"/>
          <w:u w:val="single"/>
        </w:rPr>
        <w:t xml:space="preserve"> charges for SDG</w:t>
      </w:r>
    </w:p>
    <w:p w14:paraId="338FB1B7" w14:textId="0EF0213A" w:rsidR="000804F6" w:rsidRPr="000A48D0" w:rsidRDefault="000804F6" w:rsidP="000A48D0">
      <w:pPr>
        <w:pStyle w:val="NormalWeb"/>
        <w:spacing w:before="0" w:beforeAutospacing="0" w:after="0" w:afterAutospacing="0" w:line="276" w:lineRule="auto"/>
        <w:jc w:val="both"/>
        <w:rPr>
          <w:rFonts w:ascii="Arial" w:hAnsi="Arial" w:cs="Arial"/>
          <w:b/>
          <w:bCs/>
          <w:sz w:val="20"/>
          <w:szCs w:val="20"/>
        </w:rPr>
      </w:pPr>
    </w:p>
    <w:p w14:paraId="6D776A19" w14:textId="7994932E" w:rsidR="0070527D" w:rsidRPr="000A48D0" w:rsidRDefault="0070527D" w:rsidP="000A48D0">
      <w:pPr>
        <w:autoSpaceDE w:val="0"/>
        <w:autoSpaceDN w:val="0"/>
        <w:adjustRightInd w:val="0"/>
        <w:spacing w:after="0"/>
        <w:jc w:val="both"/>
        <w:rPr>
          <w:rFonts w:ascii="Arial" w:hAnsi="Arial" w:cs="Arial"/>
          <w:b/>
          <w:bCs/>
          <w:sz w:val="20"/>
          <w:szCs w:val="20"/>
        </w:rPr>
      </w:pPr>
      <w:r w:rsidRPr="000A48D0">
        <w:rPr>
          <w:rFonts w:ascii="Arial" w:hAnsi="Arial" w:cs="Arial"/>
          <w:b/>
          <w:bCs/>
          <w:sz w:val="20"/>
          <w:szCs w:val="20"/>
        </w:rPr>
        <w:t xml:space="preserve">Question 5a: Do you have any evidence that SDG does not contribute to flows in the same way as large generation and, therefore, should not be charged on a consistent basis? </w:t>
      </w:r>
    </w:p>
    <w:p w14:paraId="23926279" w14:textId="493F81B4" w:rsidR="00A94110" w:rsidRPr="000A48D0" w:rsidRDefault="00A94110" w:rsidP="000A48D0">
      <w:pPr>
        <w:autoSpaceDE w:val="0"/>
        <w:autoSpaceDN w:val="0"/>
        <w:adjustRightInd w:val="0"/>
        <w:spacing w:after="0"/>
        <w:jc w:val="both"/>
        <w:rPr>
          <w:rFonts w:ascii="Arial" w:hAnsi="Arial" w:cs="Arial"/>
          <w:b/>
          <w:bCs/>
          <w:sz w:val="20"/>
          <w:szCs w:val="20"/>
        </w:rPr>
      </w:pPr>
    </w:p>
    <w:p w14:paraId="5948E0EB" w14:textId="6D2BDC84" w:rsidR="00A94110" w:rsidRPr="000A48D0" w:rsidRDefault="00A94110" w:rsidP="000A48D0">
      <w:pPr>
        <w:autoSpaceDE w:val="0"/>
        <w:autoSpaceDN w:val="0"/>
        <w:adjustRightInd w:val="0"/>
        <w:spacing w:after="0"/>
        <w:jc w:val="both"/>
        <w:rPr>
          <w:rFonts w:ascii="Arial" w:eastAsia="Times New Roman" w:hAnsi="Arial" w:cs="Arial"/>
          <w:color w:val="000000"/>
          <w:sz w:val="20"/>
          <w:szCs w:val="20"/>
          <w:lang w:eastAsia="en-GB"/>
        </w:rPr>
      </w:pPr>
      <w:r w:rsidRPr="00A13DDC">
        <w:rPr>
          <w:rFonts w:ascii="Arial" w:eastAsia="Times New Roman" w:hAnsi="Arial" w:cs="Arial"/>
          <w:color w:val="000000"/>
          <w:sz w:val="20"/>
          <w:szCs w:val="20"/>
          <w:lang w:eastAsia="en-GB"/>
        </w:rPr>
        <w:t xml:space="preserve">We think that without a wider review of </w:t>
      </w:r>
      <w:proofErr w:type="spellStart"/>
      <w:r w:rsidRPr="00A13DDC">
        <w:rPr>
          <w:rFonts w:ascii="Arial" w:eastAsia="Times New Roman" w:hAnsi="Arial" w:cs="Arial"/>
          <w:color w:val="000000"/>
          <w:sz w:val="20"/>
          <w:szCs w:val="20"/>
          <w:lang w:eastAsia="en-GB"/>
        </w:rPr>
        <w:t>TNUoS</w:t>
      </w:r>
      <w:proofErr w:type="spellEnd"/>
      <w:r w:rsidRPr="00A13DDC">
        <w:rPr>
          <w:rFonts w:ascii="Arial" w:eastAsia="Times New Roman" w:hAnsi="Arial" w:cs="Arial"/>
          <w:color w:val="000000"/>
          <w:sz w:val="20"/>
          <w:szCs w:val="20"/>
          <w:lang w:eastAsia="en-GB"/>
        </w:rPr>
        <w:t>, charging SDG in the same way as large transmission generators is not the best way forward.</w:t>
      </w:r>
      <w:r w:rsidR="008C708C" w:rsidRPr="00A13DDC">
        <w:rPr>
          <w:rFonts w:ascii="Arial" w:eastAsia="Times New Roman" w:hAnsi="Arial" w:cs="Arial"/>
          <w:color w:val="000000"/>
          <w:sz w:val="20"/>
          <w:szCs w:val="20"/>
          <w:lang w:eastAsia="en-GB"/>
        </w:rPr>
        <w:t xml:space="preserve"> </w:t>
      </w:r>
      <w:r w:rsidRPr="00A13DDC">
        <w:rPr>
          <w:rFonts w:ascii="Arial" w:eastAsia="Times New Roman" w:hAnsi="Arial" w:cs="Arial"/>
          <w:color w:val="000000"/>
          <w:sz w:val="20"/>
          <w:szCs w:val="20"/>
          <w:lang w:eastAsia="en-GB"/>
        </w:rPr>
        <w:t xml:space="preserve">In question 7 we explain </w:t>
      </w:r>
      <w:r w:rsidR="008C708C" w:rsidRPr="00A13DDC">
        <w:rPr>
          <w:rFonts w:ascii="Arial" w:eastAsia="Times New Roman" w:hAnsi="Arial" w:cs="Arial"/>
          <w:color w:val="000000"/>
          <w:sz w:val="20"/>
          <w:szCs w:val="20"/>
          <w:lang w:eastAsia="en-GB"/>
        </w:rPr>
        <w:t xml:space="preserve">in detail </w:t>
      </w:r>
      <w:r w:rsidRPr="00A13DDC">
        <w:rPr>
          <w:rFonts w:ascii="Arial" w:eastAsia="Times New Roman" w:hAnsi="Arial" w:cs="Arial"/>
          <w:color w:val="000000"/>
          <w:sz w:val="20"/>
          <w:szCs w:val="20"/>
          <w:lang w:eastAsia="en-GB"/>
        </w:rPr>
        <w:t xml:space="preserve">the key reasons why </w:t>
      </w:r>
      <w:proofErr w:type="spellStart"/>
      <w:r w:rsidRPr="00A13DDC">
        <w:rPr>
          <w:rFonts w:ascii="Arial" w:eastAsia="Times New Roman" w:hAnsi="Arial" w:cs="Arial"/>
          <w:color w:val="000000"/>
          <w:sz w:val="20"/>
          <w:szCs w:val="20"/>
          <w:lang w:eastAsia="en-GB"/>
        </w:rPr>
        <w:t>TNUoS</w:t>
      </w:r>
      <w:proofErr w:type="spellEnd"/>
      <w:r w:rsidRPr="00A13DDC">
        <w:rPr>
          <w:rFonts w:ascii="Arial" w:eastAsia="Times New Roman" w:hAnsi="Arial" w:cs="Arial"/>
          <w:color w:val="000000"/>
          <w:sz w:val="20"/>
          <w:szCs w:val="20"/>
          <w:lang w:eastAsia="en-GB"/>
        </w:rPr>
        <w:t xml:space="preserve"> needs to be reformed </w:t>
      </w:r>
      <w:r w:rsidR="008C708C" w:rsidRPr="00A13DDC">
        <w:rPr>
          <w:rFonts w:ascii="Arial" w:eastAsia="Times New Roman" w:hAnsi="Arial" w:cs="Arial"/>
          <w:color w:val="000000"/>
          <w:sz w:val="20"/>
          <w:szCs w:val="20"/>
          <w:lang w:eastAsia="en-GB"/>
        </w:rPr>
        <w:t>and in question 5e we also explain why delay</w:t>
      </w:r>
      <w:r w:rsidR="00CB1850" w:rsidRPr="00A13DDC">
        <w:rPr>
          <w:rFonts w:ascii="Arial" w:eastAsia="Times New Roman" w:hAnsi="Arial" w:cs="Arial"/>
          <w:color w:val="000000"/>
          <w:sz w:val="20"/>
          <w:szCs w:val="20"/>
          <w:lang w:eastAsia="en-GB"/>
        </w:rPr>
        <w:t>ing</w:t>
      </w:r>
      <w:r w:rsidR="008C708C" w:rsidRPr="00A13DDC">
        <w:rPr>
          <w:rFonts w:ascii="Arial" w:eastAsia="Times New Roman" w:hAnsi="Arial" w:cs="Arial"/>
          <w:color w:val="000000"/>
          <w:sz w:val="20"/>
          <w:szCs w:val="20"/>
          <w:lang w:eastAsia="en-GB"/>
        </w:rPr>
        <w:t xml:space="preserve"> implementation and grandfathering projects are our preferred options.</w:t>
      </w:r>
    </w:p>
    <w:p w14:paraId="4799EFA6" w14:textId="77777777" w:rsidR="00A94110" w:rsidRPr="000A48D0" w:rsidRDefault="00A94110" w:rsidP="000A48D0">
      <w:pPr>
        <w:autoSpaceDE w:val="0"/>
        <w:autoSpaceDN w:val="0"/>
        <w:adjustRightInd w:val="0"/>
        <w:spacing w:after="0"/>
        <w:jc w:val="both"/>
        <w:rPr>
          <w:rFonts w:ascii="Arial" w:eastAsia="Times New Roman" w:hAnsi="Arial" w:cs="Arial"/>
          <w:color w:val="000000"/>
          <w:sz w:val="20"/>
          <w:szCs w:val="20"/>
          <w:lang w:eastAsia="en-GB"/>
        </w:rPr>
      </w:pPr>
    </w:p>
    <w:p w14:paraId="500263F0" w14:textId="77777777" w:rsidR="00A94110" w:rsidRPr="000A48D0" w:rsidRDefault="00A94110"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Aside from the principle of which users pay which charge, in terms of contribution to flows, there are physically at least two elements that must be considered to reduce the effective chargeable capacity of SDG relative to transmission connected generation:</w:t>
      </w:r>
    </w:p>
    <w:p w14:paraId="06C0D824" w14:textId="77777777" w:rsidR="00A94110" w:rsidRPr="000A48D0" w:rsidRDefault="00A94110" w:rsidP="000A48D0">
      <w:pPr>
        <w:pStyle w:val="ListParagraph"/>
        <w:numPr>
          <w:ilvl w:val="0"/>
          <w:numId w:val="21"/>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 xml:space="preserve">A broad (year-round) average of the power consumed on the relevant distribution system. This must be very broadly averaged to be effective in the context of </w:t>
      </w:r>
      <w:proofErr w:type="spellStart"/>
      <w:r w:rsidRPr="000A48D0">
        <w:rPr>
          <w:rFonts w:cs="Arial"/>
          <w:color w:val="000000"/>
          <w:sz w:val="20"/>
          <w:szCs w:val="20"/>
        </w:rPr>
        <w:t>TNUoS’s</w:t>
      </w:r>
      <w:proofErr w:type="spellEnd"/>
      <w:r w:rsidRPr="000A48D0">
        <w:rPr>
          <w:rFonts w:cs="Arial"/>
          <w:color w:val="000000"/>
          <w:sz w:val="20"/>
          <w:szCs w:val="20"/>
        </w:rPr>
        <w:t xml:space="preserve"> Long-Run Incremental Cost approach. However, such factor must avoid a “cliff edge” outcome where the charge is applied or disapplied on binary criteria, as this would contribute to excessive volatility and unpredictability which will hamper the usefulness of the signal while adding unnecessary risk premia to generation finance.</w:t>
      </w:r>
    </w:p>
    <w:p w14:paraId="2F308A69" w14:textId="77777777" w:rsidR="00A94110" w:rsidRPr="000A48D0" w:rsidRDefault="00A94110" w:rsidP="000A48D0">
      <w:pPr>
        <w:pStyle w:val="ListParagraph"/>
        <w:numPr>
          <w:ilvl w:val="0"/>
          <w:numId w:val="21"/>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The electrical losses between the SDG meter and the higher voltage transmission circuits which connect to a GSP.</w:t>
      </w:r>
    </w:p>
    <w:p w14:paraId="33A04B98" w14:textId="77777777" w:rsidR="0070527D" w:rsidRPr="000A48D0" w:rsidRDefault="0070527D" w:rsidP="000A48D0">
      <w:pPr>
        <w:autoSpaceDE w:val="0"/>
        <w:autoSpaceDN w:val="0"/>
        <w:adjustRightInd w:val="0"/>
        <w:spacing w:after="0"/>
        <w:jc w:val="both"/>
        <w:rPr>
          <w:rFonts w:ascii="Arial" w:hAnsi="Arial" w:cs="Arial"/>
          <w:b/>
          <w:bCs/>
          <w:color w:val="000000"/>
          <w:sz w:val="20"/>
          <w:szCs w:val="20"/>
        </w:rPr>
      </w:pPr>
    </w:p>
    <w:p w14:paraId="3DFC6F18" w14:textId="77777777" w:rsidR="00A57C3F" w:rsidRPr="000A48D0" w:rsidRDefault="000804F6" w:rsidP="000A48D0">
      <w:pPr>
        <w:autoSpaceDE w:val="0"/>
        <w:autoSpaceDN w:val="0"/>
        <w:adjustRightInd w:val="0"/>
        <w:spacing w:after="0"/>
        <w:jc w:val="both"/>
        <w:rPr>
          <w:rFonts w:ascii="Arial" w:hAnsi="Arial" w:cs="Arial"/>
          <w:b/>
          <w:bCs/>
          <w:color w:val="000000"/>
          <w:sz w:val="20"/>
          <w:szCs w:val="20"/>
        </w:rPr>
      </w:pPr>
      <w:bookmarkStart w:id="0" w:name="_Hlk79765969"/>
      <w:bookmarkStart w:id="1" w:name="_Hlk80011943"/>
      <w:r w:rsidRPr="000A48D0">
        <w:rPr>
          <w:rFonts w:ascii="Arial" w:hAnsi="Arial" w:cs="Arial"/>
          <w:b/>
          <w:bCs/>
          <w:color w:val="000000"/>
          <w:sz w:val="20"/>
          <w:szCs w:val="20"/>
        </w:rPr>
        <w:t xml:space="preserve">Question 5b: Do you agree with our threshold for applying </w:t>
      </w:r>
      <w:proofErr w:type="spellStart"/>
      <w:r w:rsidRPr="000A48D0">
        <w:rPr>
          <w:rFonts w:ascii="Arial" w:hAnsi="Arial" w:cs="Arial"/>
          <w:b/>
          <w:bCs/>
          <w:color w:val="000000"/>
          <w:sz w:val="20"/>
          <w:szCs w:val="20"/>
        </w:rPr>
        <w:t>TNUoS</w:t>
      </w:r>
      <w:proofErr w:type="spellEnd"/>
      <w:r w:rsidRPr="000A48D0">
        <w:rPr>
          <w:rFonts w:ascii="Arial" w:hAnsi="Arial" w:cs="Arial"/>
          <w:b/>
          <w:bCs/>
          <w:color w:val="000000"/>
          <w:sz w:val="20"/>
          <w:szCs w:val="20"/>
        </w:rPr>
        <w:t xml:space="preserve"> generation charges of 1MW? If not, what would be a better threshold and why?</w:t>
      </w:r>
    </w:p>
    <w:p w14:paraId="1408AE5C" w14:textId="77777777" w:rsidR="003C7FF8" w:rsidRPr="000A48D0" w:rsidRDefault="003C7FF8" w:rsidP="000A48D0">
      <w:pPr>
        <w:autoSpaceDE w:val="0"/>
        <w:autoSpaceDN w:val="0"/>
        <w:adjustRightInd w:val="0"/>
        <w:spacing w:after="0"/>
        <w:jc w:val="both"/>
        <w:rPr>
          <w:rFonts w:ascii="Arial" w:hAnsi="Arial" w:cs="Arial"/>
          <w:color w:val="000000"/>
          <w:sz w:val="20"/>
          <w:szCs w:val="20"/>
        </w:rPr>
      </w:pPr>
    </w:p>
    <w:p w14:paraId="179CB0D9" w14:textId="164945D5" w:rsidR="00760E98" w:rsidRPr="000A48D0" w:rsidRDefault="00760E98"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color w:val="000000"/>
          <w:sz w:val="20"/>
          <w:szCs w:val="20"/>
        </w:rPr>
        <w:t xml:space="preserve">The current proposal will apply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charges to all generators, except for &lt;1MW SDG, which would continue to face the embedded export tariff (EET) with the cap removed.</w:t>
      </w:r>
    </w:p>
    <w:p w14:paraId="3C9CD723" w14:textId="77777777" w:rsidR="00760E98" w:rsidRPr="000A48D0" w:rsidRDefault="00760E98" w:rsidP="000A48D0">
      <w:pPr>
        <w:autoSpaceDE w:val="0"/>
        <w:autoSpaceDN w:val="0"/>
        <w:adjustRightInd w:val="0"/>
        <w:spacing w:after="0"/>
        <w:jc w:val="both"/>
        <w:rPr>
          <w:rFonts w:ascii="Arial" w:hAnsi="Arial" w:cs="Arial"/>
          <w:color w:val="000000"/>
          <w:sz w:val="20"/>
          <w:szCs w:val="20"/>
        </w:rPr>
      </w:pPr>
    </w:p>
    <w:p w14:paraId="34BB4736" w14:textId="470F6896" w:rsidR="00B0430C" w:rsidRPr="000A48D0" w:rsidRDefault="00B0430C"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We would like to note that removing the cap of generators below 1 MW would affect producers in Scotland and northern </w:t>
      </w:r>
      <w:r w:rsidR="00760E98" w:rsidRPr="000A48D0">
        <w:rPr>
          <w:rFonts w:ascii="Arial" w:hAnsi="Arial" w:cs="Arial"/>
          <w:color w:val="000000"/>
          <w:sz w:val="20"/>
          <w:szCs w:val="20"/>
        </w:rPr>
        <w:t>distribution zones</w:t>
      </w:r>
      <w:r w:rsidR="00961F53" w:rsidRPr="000A48D0">
        <w:rPr>
          <w:rFonts w:ascii="Arial" w:hAnsi="Arial" w:cs="Arial"/>
          <w:color w:val="000000"/>
          <w:sz w:val="20"/>
          <w:szCs w:val="20"/>
        </w:rPr>
        <w:t>,</w:t>
      </w:r>
      <w:r w:rsidRPr="000A48D0">
        <w:rPr>
          <w:rFonts w:ascii="Arial" w:hAnsi="Arial" w:cs="Arial"/>
          <w:color w:val="000000"/>
          <w:sz w:val="20"/>
          <w:szCs w:val="20"/>
        </w:rPr>
        <w:t xml:space="preserve"> who currently pay no charge but would face charge</w:t>
      </w:r>
      <w:r w:rsidR="00961F53" w:rsidRPr="000A48D0">
        <w:rPr>
          <w:rFonts w:ascii="Arial" w:hAnsi="Arial" w:cs="Arial"/>
          <w:color w:val="000000"/>
          <w:sz w:val="20"/>
          <w:szCs w:val="20"/>
        </w:rPr>
        <w:t>s</w:t>
      </w:r>
      <w:r w:rsidRPr="000A48D0">
        <w:rPr>
          <w:rFonts w:ascii="Arial" w:hAnsi="Arial" w:cs="Arial"/>
          <w:color w:val="000000"/>
          <w:sz w:val="20"/>
          <w:szCs w:val="20"/>
        </w:rPr>
        <w:t xml:space="preserve"> for export during Triad periods under this proposal.</w:t>
      </w:r>
      <w:r w:rsidR="000F6ACB" w:rsidRPr="000A48D0">
        <w:rPr>
          <w:rFonts w:ascii="Arial" w:hAnsi="Arial" w:cs="Arial"/>
          <w:color w:val="000000"/>
          <w:sz w:val="20"/>
          <w:szCs w:val="20"/>
        </w:rPr>
        <w:t xml:space="preserve"> The qualitative impact assessment from CEPA-TNA shows that while </w:t>
      </w:r>
      <w:r w:rsidR="00473FA6" w:rsidRPr="000A48D0">
        <w:rPr>
          <w:rFonts w:ascii="Arial" w:hAnsi="Arial" w:cs="Arial"/>
          <w:color w:val="000000"/>
          <w:sz w:val="20"/>
          <w:szCs w:val="20"/>
        </w:rPr>
        <w:t xml:space="preserve">microgenerators </w:t>
      </w:r>
      <w:r w:rsidR="00961F53" w:rsidRPr="000A48D0">
        <w:rPr>
          <w:rFonts w:ascii="Arial" w:hAnsi="Arial" w:cs="Arial"/>
          <w:color w:val="000000"/>
          <w:sz w:val="20"/>
          <w:szCs w:val="20"/>
        </w:rPr>
        <w:t xml:space="preserve">today </w:t>
      </w:r>
      <w:r w:rsidR="00473FA6" w:rsidRPr="000A48D0">
        <w:rPr>
          <w:rFonts w:ascii="Arial" w:hAnsi="Arial" w:cs="Arial"/>
          <w:color w:val="000000"/>
          <w:sz w:val="20"/>
          <w:szCs w:val="20"/>
        </w:rPr>
        <w:t xml:space="preserve">in the north of Scotland faces </w:t>
      </w:r>
      <w:r w:rsidR="000F6ACB" w:rsidRPr="000A48D0">
        <w:rPr>
          <w:rFonts w:ascii="Arial" w:hAnsi="Arial" w:cs="Arial"/>
          <w:color w:val="000000"/>
          <w:sz w:val="20"/>
          <w:szCs w:val="20"/>
        </w:rPr>
        <w:t>embedded export charge</w:t>
      </w:r>
      <w:r w:rsidR="00961F53" w:rsidRPr="000A48D0">
        <w:rPr>
          <w:rFonts w:ascii="Arial" w:hAnsi="Arial" w:cs="Arial"/>
          <w:color w:val="000000"/>
          <w:sz w:val="20"/>
          <w:szCs w:val="20"/>
        </w:rPr>
        <w:t>s</w:t>
      </w:r>
      <w:r w:rsidR="000F6ACB" w:rsidRPr="000A48D0">
        <w:rPr>
          <w:rFonts w:ascii="Arial" w:hAnsi="Arial" w:cs="Arial"/>
          <w:color w:val="000000"/>
          <w:sz w:val="20"/>
          <w:szCs w:val="20"/>
        </w:rPr>
        <w:t xml:space="preserve"> </w:t>
      </w:r>
      <w:r w:rsidR="00473FA6" w:rsidRPr="000A48D0">
        <w:rPr>
          <w:rFonts w:ascii="Arial" w:hAnsi="Arial" w:cs="Arial"/>
          <w:color w:val="000000"/>
          <w:sz w:val="20"/>
          <w:szCs w:val="20"/>
        </w:rPr>
        <w:t xml:space="preserve">equal to </w:t>
      </w:r>
      <w:r w:rsidR="000F6ACB" w:rsidRPr="000A48D0">
        <w:rPr>
          <w:rFonts w:ascii="Arial" w:hAnsi="Arial" w:cs="Arial"/>
          <w:color w:val="000000"/>
          <w:sz w:val="20"/>
          <w:szCs w:val="20"/>
        </w:rPr>
        <w:t xml:space="preserve">0 £/kW, by 2024 </w:t>
      </w:r>
      <w:r w:rsidR="000F6ACB" w:rsidRPr="000A48D0">
        <w:rPr>
          <w:rFonts w:ascii="Arial" w:hAnsi="Arial" w:cs="Arial"/>
          <w:color w:val="000000"/>
          <w:sz w:val="20"/>
          <w:szCs w:val="20"/>
        </w:rPr>
        <w:lastRenderedPageBreak/>
        <w:t>and 2040 this charge will be around 36.5 and 80.6 £/kW. This sends a perverse signal to generators for not generating at Triads</w:t>
      </w:r>
      <w:r w:rsidR="00C526BB" w:rsidRPr="000A48D0">
        <w:rPr>
          <w:rFonts w:ascii="Arial" w:hAnsi="Arial" w:cs="Arial"/>
          <w:color w:val="000000"/>
          <w:sz w:val="20"/>
          <w:szCs w:val="20"/>
        </w:rPr>
        <w:t xml:space="preserve"> periods</w:t>
      </w:r>
      <w:r w:rsidR="000F6ACB" w:rsidRPr="000A48D0">
        <w:rPr>
          <w:rFonts w:ascii="Arial" w:hAnsi="Arial" w:cs="Arial"/>
          <w:color w:val="000000"/>
          <w:sz w:val="20"/>
          <w:szCs w:val="20"/>
        </w:rPr>
        <w:t>.</w:t>
      </w:r>
    </w:p>
    <w:p w14:paraId="36235723" w14:textId="04D2A792" w:rsidR="000463A7" w:rsidRPr="000A48D0" w:rsidRDefault="000463A7" w:rsidP="000A48D0">
      <w:pPr>
        <w:autoSpaceDE w:val="0"/>
        <w:autoSpaceDN w:val="0"/>
        <w:adjustRightInd w:val="0"/>
        <w:spacing w:after="0"/>
        <w:jc w:val="both"/>
        <w:rPr>
          <w:rFonts w:ascii="Arial" w:hAnsi="Arial" w:cs="Arial"/>
          <w:color w:val="000000"/>
          <w:sz w:val="20"/>
          <w:szCs w:val="20"/>
        </w:rPr>
      </w:pPr>
    </w:p>
    <w:p w14:paraId="207334F4" w14:textId="4A8E7F61" w:rsidR="000463A7" w:rsidRPr="000A48D0" w:rsidRDefault="00114592" w:rsidP="000A48D0">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We </w:t>
      </w:r>
      <w:r w:rsidR="000463A7" w:rsidRPr="000A48D0">
        <w:rPr>
          <w:rFonts w:ascii="Arial" w:hAnsi="Arial" w:cs="Arial"/>
          <w:color w:val="000000"/>
          <w:sz w:val="20"/>
          <w:szCs w:val="20"/>
        </w:rPr>
        <w:t xml:space="preserve">would favour the most level playing field – and this would entail applying the same framework to as small a threshold of generation as can be practically achieved. A technically sound threshold is that set between Engineering Recommendation G98 (for generators of up to 16A per phase) and G99 (for all other generation); wherein DNOs can be expected to have individual records of all G99 </w:t>
      </w:r>
      <w:proofErr w:type="gramStart"/>
      <w:r w:rsidR="000463A7" w:rsidRPr="000A48D0">
        <w:rPr>
          <w:rFonts w:ascii="Arial" w:hAnsi="Arial" w:cs="Arial"/>
          <w:color w:val="000000"/>
          <w:sz w:val="20"/>
          <w:szCs w:val="20"/>
        </w:rPr>
        <w:t>generation, but</w:t>
      </w:r>
      <w:proofErr w:type="gramEnd"/>
      <w:r w:rsidR="000463A7" w:rsidRPr="000A48D0">
        <w:rPr>
          <w:rFonts w:ascii="Arial" w:hAnsi="Arial" w:cs="Arial"/>
          <w:color w:val="000000"/>
          <w:sz w:val="20"/>
          <w:szCs w:val="20"/>
        </w:rPr>
        <w:t xml:space="preserve"> may not have accurate individual records for G98 generation.</w:t>
      </w:r>
    </w:p>
    <w:p w14:paraId="5FDC70A7" w14:textId="7264E318" w:rsidR="00AF21D8" w:rsidRPr="000A48D0" w:rsidRDefault="00AF21D8" w:rsidP="000A48D0">
      <w:pPr>
        <w:autoSpaceDE w:val="0"/>
        <w:autoSpaceDN w:val="0"/>
        <w:adjustRightInd w:val="0"/>
        <w:spacing w:after="0"/>
        <w:jc w:val="both"/>
        <w:rPr>
          <w:rFonts w:ascii="Arial" w:hAnsi="Arial" w:cs="Arial"/>
          <w:color w:val="000000"/>
          <w:sz w:val="20"/>
          <w:szCs w:val="20"/>
        </w:rPr>
      </w:pPr>
    </w:p>
    <w:p w14:paraId="46AB00A2" w14:textId="3585F799" w:rsidR="00AF21D8" w:rsidRPr="000A48D0" w:rsidRDefault="00AF21D8" w:rsidP="000A48D0">
      <w:pPr>
        <w:autoSpaceDE w:val="0"/>
        <w:autoSpaceDN w:val="0"/>
        <w:adjustRightInd w:val="0"/>
        <w:spacing w:after="0"/>
        <w:jc w:val="both"/>
        <w:rPr>
          <w:rFonts w:ascii="Arial" w:hAnsi="Arial" w:cs="Arial"/>
          <w:bCs/>
          <w:color w:val="000000"/>
          <w:sz w:val="20"/>
          <w:szCs w:val="20"/>
        </w:rPr>
      </w:pPr>
      <w:r w:rsidRPr="00A13DDC">
        <w:rPr>
          <w:rFonts w:ascii="Arial" w:hAnsi="Arial" w:cs="Arial"/>
          <w:bCs/>
          <w:color w:val="000000"/>
          <w:sz w:val="20"/>
          <w:szCs w:val="20"/>
        </w:rPr>
        <w:t xml:space="preserve">In response to the 1MW threshold proposal: We note that thresholds smaller than 1MW have been used by DNOs in consideration of planning studies; SSEN has used a 40kW threshold in one region, and SPEN has used 100kW in South-West Scotland, in considering relevant projects for transmission study. We also note that wider BM participation is being encouraged by the ESO, and that BMUs can contain aggregations of smaller units. Finally, we see smaller than 1MW projects recorded in Embedded Capacity Registers, typically aggregating at HV and LV networks mostly for simplification of presentation; </w:t>
      </w:r>
      <w:r w:rsidR="00851FB7" w:rsidRPr="00A13DDC">
        <w:rPr>
          <w:rFonts w:ascii="Arial" w:hAnsi="Arial" w:cs="Arial"/>
          <w:bCs/>
          <w:color w:val="000000"/>
          <w:sz w:val="20"/>
          <w:szCs w:val="20"/>
        </w:rPr>
        <w:t>again,</w:t>
      </w:r>
      <w:r w:rsidRPr="00A13DDC">
        <w:rPr>
          <w:rFonts w:ascii="Arial" w:hAnsi="Arial" w:cs="Arial"/>
          <w:bCs/>
          <w:color w:val="000000"/>
          <w:sz w:val="20"/>
          <w:szCs w:val="20"/>
        </w:rPr>
        <w:t xml:space="preserve"> noting that a significant threshold for DNOs own records is the boundary between G98 and G99 generation.</w:t>
      </w:r>
    </w:p>
    <w:bookmarkEnd w:id="0"/>
    <w:bookmarkEnd w:id="1"/>
    <w:p w14:paraId="29E09225" w14:textId="3D16262D" w:rsidR="000804F6" w:rsidRPr="000A48D0" w:rsidRDefault="000804F6" w:rsidP="000A48D0">
      <w:pPr>
        <w:autoSpaceDE w:val="0"/>
        <w:autoSpaceDN w:val="0"/>
        <w:adjustRightInd w:val="0"/>
        <w:spacing w:after="0"/>
        <w:jc w:val="both"/>
        <w:rPr>
          <w:rFonts w:ascii="Arial" w:hAnsi="Arial" w:cs="Arial"/>
          <w:b/>
          <w:bCs/>
          <w:color w:val="000000"/>
          <w:sz w:val="20"/>
          <w:szCs w:val="20"/>
        </w:rPr>
      </w:pPr>
    </w:p>
    <w:p w14:paraId="27534F10" w14:textId="5F4F0C7F" w:rsidR="000804F6" w:rsidRPr="000A48D0"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5c: Do you have any evidence that distribution connected generation at a grid supply point has a different impact than directly connected generation? </w:t>
      </w:r>
    </w:p>
    <w:p w14:paraId="769F3EB9" w14:textId="4E37281B" w:rsidR="00D3494F" w:rsidRPr="000A48D0" w:rsidRDefault="00D3494F" w:rsidP="000A48D0">
      <w:pPr>
        <w:autoSpaceDE w:val="0"/>
        <w:autoSpaceDN w:val="0"/>
        <w:adjustRightInd w:val="0"/>
        <w:spacing w:after="0"/>
        <w:jc w:val="both"/>
        <w:rPr>
          <w:rFonts w:ascii="Arial" w:hAnsi="Arial" w:cs="Arial"/>
          <w:b/>
          <w:bCs/>
          <w:color w:val="000000"/>
          <w:sz w:val="20"/>
          <w:szCs w:val="20"/>
        </w:rPr>
      </w:pPr>
    </w:p>
    <w:p w14:paraId="350A760A" w14:textId="6D20E6E2" w:rsidR="00D45E87" w:rsidRPr="000A48D0" w:rsidRDefault="00D45E87" w:rsidP="000A48D0">
      <w:pPr>
        <w:autoSpaceDE w:val="0"/>
        <w:autoSpaceDN w:val="0"/>
        <w:adjustRightInd w:val="0"/>
        <w:spacing w:after="0"/>
        <w:jc w:val="both"/>
        <w:rPr>
          <w:rFonts w:ascii="Arial" w:hAnsi="Arial" w:cs="Arial"/>
          <w:bCs/>
          <w:color w:val="000000"/>
          <w:sz w:val="20"/>
          <w:szCs w:val="20"/>
        </w:rPr>
      </w:pPr>
      <w:r w:rsidRPr="000A48D0">
        <w:rPr>
          <w:rFonts w:ascii="Arial" w:hAnsi="Arial" w:cs="Arial"/>
          <w:bCs/>
          <w:color w:val="000000"/>
          <w:sz w:val="20"/>
          <w:szCs w:val="20"/>
        </w:rPr>
        <w:t>Please see answer to 5a.</w:t>
      </w:r>
    </w:p>
    <w:p w14:paraId="3615CF7D" w14:textId="77777777" w:rsidR="000804F6" w:rsidRPr="000A48D0" w:rsidRDefault="000804F6" w:rsidP="000A48D0">
      <w:pPr>
        <w:autoSpaceDE w:val="0"/>
        <w:autoSpaceDN w:val="0"/>
        <w:adjustRightInd w:val="0"/>
        <w:spacing w:after="0"/>
        <w:jc w:val="both"/>
        <w:rPr>
          <w:rFonts w:ascii="Arial" w:hAnsi="Arial" w:cs="Arial"/>
          <w:b/>
          <w:bCs/>
          <w:color w:val="000000"/>
          <w:sz w:val="20"/>
          <w:szCs w:val="20"/>
        </w:rPr>
      </w:pPr>
    </w:p>
    <w:p w14:paraId="0E00AD3D" w14:textId="1080CED7" w:rsidR="00AA4C25" w:rsidRPr="000A48D0" w:rsidRDefault="000804F6" w:rsidP="000A48D0">
      <w:pPr>
        <w:pStyle w:val="NormalWeb"/>
        <w:spacing w:before="0" w:beforeAutospacing="0" w:after="0" w:afterAutospacing="0" w:line="276" w:lineRule="auto"/>
        <w:jc w:val="both"/>
        <w:rPr>
          <w:rFonts w:ascii="Arial" w:hAnsi="Arial" w:cs="Arial"/>
          <w:b/>
          <w:bCs/>
          <w:color w:val="000000"/>
          <w:sz w:val="20"/>
          <w:szCs w:val="20"/>
        </w:rPr>
      </w:pPr>
      <w:bookmarkStart w:id="2" w:name="_Hlk78363262"/>
      <w:r w:rsidRPr="000A48D0">
        <w:rPr>
          <w:rFonts w:ascii="Arial" w:hAnsi="Arial" w:cs="Arial"/>
          <w:b/>
          <w:bCs/>
          <w:color w:val="000000"/>
          <w:sz w:val="20"/>
          <w:szCs w:val="20"/>
        </w:rPr>
        <w:t xml:space="preserve">Question 5d: Do you </w:t>
      </w:r>
      <w:proofErr w:type="gramStart"/>
      <w:r w:rsidRPr="000A48D0">
        <w:rPr>
          <w:rFonts w:ascii="Arial" w:hAnsi="Arial" w:cs="Arial"/>
          <w:b/>
          <w:bCs/>
          <w:color w:val="000000"/>
          <w:sz w:val="20"/>
          <w:szCs w:val="20"/>
        </w:rPr>
        <w:t>have a preference for</w:t>
      </w:r>
      <w:proofErr w:type="gramEnd"/>
      <w:r w:rsidRPr="000A48D0">
        <w:rPr>
          <w:rFonts w:ascii="Arial" w:hAnsi="Arial" w:cs="Arial"/>
          <w:b/>
          <w:bCs/>
          <w:color w:val="000000"/>
          <w:sz w:val="20"/>
          <w:szCs w:val="20"/>
        </w:rPr>
        <w:t xml:space="preserve"> one of our options for addressing the local charging distortion? If so, please indicate which option and provide your reasons. Are there any options we have missed? </w:t>
      </w:r>
      <w:bookmarkEnd w:id="2"/>
    </w:p>
    <w:p w14:paraId="4C24275F" w14:textId="3DA7C18C" w:rsidR="00AA4C25" w:rsidRPr="000A48D0" w:rsidRDefault="00AA4C25" w:rsidP="000A48D0">
      <w:pPr>
        <w:pStyle w:val="NormalWeb"/>
        <w:spacing w:before="0" w:beforeAutospacing="0" w:after="0" w:afterAutospacing="0" w:line="276" w:lineRule="auto"/>
        <w:jc w:val="both"/>
        <w:rPr>
          <w:rFonts w:ascii="Arial" w:hAnsi="Arial" w:cs="Arial"/>
          <w:b/>
          <w:bCs/>
          <w:color w:val="000000"/>
          <w:sz w:val="20"/>
          <w:szCs w:val="20"/>
        </w:rPr>
      </w:pPr>
    </w:p>
    <w:p w14:paraId="67B8F90A" w14:textId="45F55B8C" w:rsidR="00137949" w:rsidRPr="000A48D0" w:rsidRDefault="00137949" w:rsidP="000A48D0">
      <w:pPr>
        <w:autoSpaceDE w:val="0"/>
        <w:autoSpaceDN w:val="0"/>
        <w:jc w:val="both"/>
        <w:rPr>
          <w:rFonts w:ascii="Arial" w:hAnsi="Arial" w:cs="Arial"/>
          <w:color w:val="000000"/>
          <w:sz w:val="20"/>
          <w:szCs w:val="20"/>
        </w:rPr>
      </w:pPr>
      <w:r w:rsidRPr="00A13DDC">
        <w:rPr>
          <w:rFonts w:ascii="Arial" w:hAnsi="Arial" w:cs="Arial"/>
          <w:color w:val="000000"/>
          <w:sz w:val="20"/>
          <w:szCs w:val="20"/>
        </w:rPr>
        <w:t xml:space="preserve">We agree with </w:t>
      </w:r>
      <w:r w:rsidR="009D7508" w:rsidRPr="00A13DDC">
        <w:rPr>
          <w:rFonts w:ascii="Arial" w:hAnsi="Arial" w:cs="Arial"/>
          <w:color w:val="000000"/>
          <w:sz w:val="20"/>
          <w:szCs w:val="20"/>
        </w:rPr>
        <w:t xml:space="preserve">point </w:t>
      </w:r>
      <w:r w:rsidRPr="00A13DDC">
        <w:rPr>
          <w:rFonts w:ascii="Arial" w:hAnsi="Arial" w:cs="Arial"/>
          <w:color w:val="000000"/>
          <w:sz w:val="20"/>
          <w:szCs w:val="20"/>
        </w:rPr>
        <w:t>5.21 (and 5.6)</w:t>
      </w:r>
      <w:r w:rsidR="009D7508" w:rsidRPr="00A13DDC">
        <w:rPr>
          <w:rFonts w:ascii="Arial" w:hAnsi="Arial" w:cs="Arial"/>
          <w:color w:val="000000"/>
          <w:sz w:val="20"/>
          <w:szCs w:val="20"/>
        </w:rPr>
        <w:t xml:space="preserve"> of the consultation</w:t>
      </w:r>
      <w:r w:rsidR="00D74145" w:rsidRPr="00A13DDC">
        <w:rPr>
          <w:rFonts w:ascii="Arial" w:hAnsi="Arial" w:cs="Arial"/>
          <w:color w:val="000000"/>
          <w:sz w:val="20"/>
          <w:szCs w:val="20"/>
        </w:rPr>
        <w:t xml:space="preserve"> </w:t>
      </w:r>
      <w:r w:rsidRPr="00A13DDC">
        <w:rPr>
          <w:rFonts w:ascii="Arial" w:hAnsi="Arial" w:cs="Arial"/>
          <w:color w:val="000000"/>
          <w:sz w:val="20"/>
          <w:szCs w:val="20"/>
        </w:rPr>
        <w:t xml:space="preserve">that </w:t>
      </w:r>
      <w:r w:rsidR="008B75AA" w:rsidRPr="00A13DDC">
        <w:rPr>
          <w:rFonts w:ascii="Arial" w:hAnsi="Arial" w:cs="Arial"/>
          <w:color w:val="000000"/>
          <w:sz w:val="20"/>
          <w:szCs w:val="20"/>
        </w:rPr>
        <w:t xml:space="preserve">states </w:t>
      </w:r>
      <w:r w:rsidRPr="00A13DDC">
        <w:rPr>
          <w:rFonts w:ascii="Arial" w:hAnsi="Arial" w:cs="Arial"/>
          <w:color w:val="000000"/>
          <w:sz w:val="20"/>
          <w:szCs w:val="20"/>
        </w:rPr>
        <w:t xml:space="preserve">this is not a priority area </w:t>
      </w:r>
      <w:r w:rsidR="008B75AA" w:rsidRPr="00A13DDC">
        <w:rPr>
          <w:rFonts w:ascii="Arial" w:hAnsi="Arial" w:cs="Arial"/>
          <w:color w:val="000000"/>
          <w:sz w:val="20"/>
          <w:szCs w:val="20"/>
        </w:rPr>
        <w:t xml:space="preserve">for </w:t>
      </w:r>
      <w:r w:rsidRPr="00A13DDC">
        <w:rPr>
          <w:rFonts w:ascii="Arial" w:hAnsi="Arial" w:cs="Arial"/>
          <w:color w:val="000000"/>
          <w:sz w:val="20"/>
          <w:szCs w:val="20"/>
        </w:rPr>
        <w:t xml:space="preserve">reform, especially given the scope and necessary speed of a wider </w:t>
      </w:r>
      <w:proofErr w:type="spellStart"/>
      <w:r w:rsidRPr="00A13DDC">
        <w:rPr>
          <w:rFonts w:ascii="Arial" w:hAnsi="Arial" w:cs="Arial"/>
          <w:color w:val="000000"/>
          <w:sz w:val="20"/>
          <w:szCs w:val="20"/>
        </w:rPr>
        <w:t>TNUoS</w:t>
      </w:r>
      <w:proofErr w:type="spellEnd"/>
      <w:r w:rsidRPr="00A13DDC">
        <w:rPr>
          <w:rFonts w:ascii="Arial" w:hAnsi="Arial" w:cs="Arial"/>
          <w:color w:val="000000"/>
          <w:sz w:val="20"/>
          <w:szCs w:val="20"/>
        </w:rPr>
        <w:t xml:space="preserve"> review, </w:t>
      </w:r>
      <w:proofErr w:type="gramStart"/>
      <w:r w:rsidRPr="00A13DDC">
        <w:rPr>
          <w:rFonts w:ascii="Arial" w:hAnsi="Arial" w:cs="Arial"/>
          <w:color w:val="000000"/>
          <w:sz w:val="20"/>
          <w:szCs w:val="20"/>
        </w:rPr>
        <w:t>in order to</w:t>
      </w:r>
      <w:proofErr w:type="gramEnd"/>
      <w:r w:rsidRPr="00A13DDC">
        <w:rPr>
          <w:rFonts w:ascii="Arial" w:hAnsi="Arial" w:cs="Arial"/>
          <w:color w:val="000000"/>
          <w:sz w:val="20"/>
          <w:szCs w:val="20"/>
        </w:rPr>
        <w:t xml:space="preserve"> least deviate from the lowest-cost pathway to deliver net zero.</w:t>
      </w:r>
    </w:p>
    <w:p w14:paraId="4BB13C00" w14:textId="1E58542B" w:rsidR="000804F6" w:rsidRPr="000A48D0"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5e: Do you support our position that we should consider transitional arrangements? If so, do you have a preferred option and evidence to support the benefits or risks associated with each option? </w:t>
      </w:r>
    </w:p>
    <w:p w14:paraId="3DA1A653" w14:textId="7D769A89" w:rsidR="00A92A53" w:rsidRPr="000A48D0" w:rsidRDefault="00A92A53" w:rsidP="000A48D0">
      <w:pPr>
        <w:autoSpaceDE w:val="0"/>
        <w:autoSpaceDN w:val="0"/>
        <w:adjustRightInd w:val="0"/>
        <w:spacing w:after="0"/>
        <w:jc w:val="both"/>
        <w:rPr>
          <w:rFonts w:ascii="Arial" w:hAnsi="Arial" w:cs="Arial"/>
          <w:b/>
          <w:bCs/>
          <w:color w:val="000000"/>
          <w:sz w:val="20"/>
          <w:szCs w:val="20"/>
        </w:rPr>
      </w:pPr>
    </w:p>
    <w:p w14:paraId="65C6BE50" w14:textId="196404F2" w:rsidR="00A64F96" w:rsidRPr="000A48D0" w:rsidRDefault="00A92A53"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color w:val="000000"/>
          <w:sz w:val="20"/>
          <w:szCs w:val="20"/>
        </w:rPr>
        <w:t>Yes,</w:t>
      </w:r>
      <w:r w:rsidR="00AB3C3F" w:rsidRPr="000A48D0">
        <w:rPr>
          <w:rFonts w:ascii="Arial" w:hAnsi="Arial" w:cs="Arial"/>
          <w:color w:val="000000"/>
          <w:sz w:val="20"/>
          <w:szCs w:val="20"/>
        </w:rPr>
        <w:t xml:space="preserve"> </w:t>
      </w:r>
      <w:r w:rsidR="00A64F96" w:rsidRPr="000A48D0">
        <w:rPr>
          <w:rFonts w:ascii="Arial" w:hAnsi="Arial" w:cs="Arial"/>
          <w:color w:val="000000"/>
          <w:sz w:val="20"/>
          <w:szCs w:val="20"/>
        </w:rPr>
        <w:t xml:space="preserve">we support the option </w:t>
      </w:r>
      <w:r w:rsidR="00A64F96" w:rsidRPr="000A48D0">
        <w:rPr>
          <w:rFonts w:ascii="Arial" w:hAnsi="Arial" w:cs="Arial"/>
          <w:b/>
          <w:bCs/>
          <w:color w:val="000000"/>
          <w:sz w:val="20"/>
          <w:szCs w:val="20"/>
        </w:rPr>
        <w:t xml:space="preserve">to confirm intention to address the issue but delay until greater clarity about strategic direction: </w:t>
      </w:r>
    </w:p>
    <w:p w14:paraId="6DD830D4" w14:textId="77777777" w:rsidR="00A64F96" w:rsidRPr="000A48D0" w:rsidRDefault="00A64F96" w:rsidP="000A48D0">
      <w:pPr>
        <w:pStyle w:val="ListParagraph"/>
        <w:numPr>
          <w:ilvl w:val="0"/>
          <w:numId w:val="23"/>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 xml:space="preserve">We believe that it is not clear if the </w:t>
      </w:r>
      <w:r w:rsidRPr="000A48D0">
        <w:rPr>
          <w:rFonts w:cs="Arial"/>
          <w:b/>
          <w:bCs/>
          <w:color w:val="000000"/>
          <w:sz w:val="20"/>
          <w:szCs w:val="20"/>
        </w:rPr>
        <w:t xml:space="preserve">current charging regime is the right one to deliver an economically efficient transition to net-zero </w:t>
      </w:r>
      <w:r w:rsidRPr="000A48D0">
        <w:rPr>
          <w:rFonts w:cs="Arial"/>
          <w:color w:val="000000"/>
          <w:sz w:val="20"/>
          <w:szCs w:val="20"/>
        </w:rPr>
        <w:t>– we would welcome a meaningful, strategic, and forward-looking review of charging in pursuit of this objective, to be delivered as soon as feasibly possible.</w:t>
      </w:r>
    </w:p>
    <w:p w14:paraId="147FE320" w14:textId="1AE80D18" w:rsidR="00A64F96" w:rsidRPr="000A48D0" w:rsidRDefault="00A64F96" w:rsidP="000A48D0">
      <w:pPr>
        <w:pStyle w:val="ListParagraph"/>
        <w:numPr>
          <w:ilvl w:val="0"/>
          <w:numId w:val="23"/>
        </w:numPr>
        <w:autoSpaceDE w:val="0"/>
        <w:autoSpaceDN w:val="0"/>
        <w:adjustRightInd w:val="0"/>
        <w:spacing w:after="0" w:line="276" w:lineRule="auto"/>
        <w:jc w:val="both"/>
        <w:rPr>
          <w:rFonts w:cs="Arial"/>
          <w:b/>
          <w:bCs/>
          <w:color w:val="000000"/>
          <w:sz w:val="20"/>
          <w:szCs w:val="20"/>
        </w:rPr>
      </w:pPr>
      <w:r w:rsidRPr="000A48D0">
        <w:rPr>
          <w:rFonts w:cs="Arial"/>
          <w:b/>
          <w:bCs/>
          <w:color w:val="000000"/>
          <w:sz w:val="20"/>
          <w:szCs w:val="20"/>
        </w:rPr>
        <w:t xml:space="preserve">We agree there is a strong case for a wider review of </w:t>
      </w:r>
      <w:proofErr w:type="spellStart"/>
      <w:r w:rsidRPr="000A48D0">
        <w:rPr>
          <w:rFonts w:cs="Arial"/>
          <w:b/>
          <w:bCs/>
          <w:color w:val="000000"/>
          <w:sz w:val="20"/>
          <w:szCs w:val="20"/>
        </w:rPr>
        <w:t>TNUoS</w:t>
      </w:r>
      <w:proofErr w:type="spellEnd"/>
    </w:p>
    <w:p w14:paraId="0938F0DC" w14:textId="462DA5FA" w:rsidR="00A64F96" w:rsidRPr="000A48D0" w:rsidRDefault="00A64F96" w:rsidP="000A48D0">
      <w:pPr>
        <w:pStyle w:val="ListParagraph"/>
        <w:numPr>
          <w:ilvl w:val="0"/>
          <w:numId w:val="23"/>
        </w:numPr>
        <w:autoSpaceDE w:val="0"/>
        <w:autoSpaceDN w:val="0"/>
        <w:adjustRightInd w:val="0"/>
        <w:spacing w:after="0" w:line="276" w:lineRule="auto"/>
        <w:jc w:val="both"/>
        <w:rPr>
          <w:rFonts w:cs="Arial"/>
          <w:color w:val="000000"/>
          <w:sz w:val="20"/>
          <w:szCs w:val="20"/>
        </w:rPr>
      </w:pPr>
      <w:r w:rsidRPr="000A48D0">
        <w:rPr>
          <w:rFonts w:cs="Arial"/>
          <w:b/>
          <w:bCs/>
          <w:color w:val="000000"/>
          <w:sz w:val="20"/>
          <w:szCs w:val="20"/>
        </w:rPr>
        <w:t>We agree that pausing application to SDG avoids unnecessary short-term volatility</w:t>
      </w:r>
      <w:r w:rsidRPr="000A48D0">
        <w:rPr>
          <w:rFonts w:cs="Arial"/>
          <w:color w:val="000000"/>
          <w:sz w:val="20"/>
          <w:szCs w:val="20"/>
        </w:rPr>
        <w:t xml:space="preserve"> and mitigates increased perception of regulatory uncertainty (“change fatigue”), which each would add finance cost to generation, ultimately being passed through as additional cost to consumers. </w:t>
      </w:r>
    </w:p>
    <w:p w14:paraId="1F772435" w14:textId="59991D39" w:rsidR="00A64F96" w:rsidRPr="000A48D0" w:rsidRDefault="00A64F96" w:rsidP="000A48D0">
      <w:pPr>
        <w:pStyle w:val="ListParagraph"/>
        <w:numPr>
          <w:ilvl w:val="0"/>
          <w:numId w:val="23"/>
        </w:numPr>
        <w:autoSpaceDE w:val="0"/>
        <w:autoSpaceDN w:val="0"/>
        <w:adjustRightInd w:val="0"/>
        <w:spacing w:after="0" w:line="276" w:lineRule="auto"/>
        <w:jc w:val="both"/>
        <w:rPr>
          <w:rFonts w:cs="Arial"/>
          <w:color w:val="000000"/>
          <w:sz w:val="20"/>
          <w:szCs w:val="20"/>
        </w:rPr>
      </w:pPr>
      <w:r w:rsidRPr="000A48D0">
        <w:rPr>
          <w:rFonts w:cs="Arial"/>
          <w:b/>
          <w:bCs/>
          <w:color w:val="000000"/>
          <w:sz w:val="20"/>
          <w:szCs w:val="20"/>
        </w:rPr>
        <w:t>We feel there are significant flaws in the associated quantitative analysis</w:t>
      </w:r>
      <w:r w:rsidRPr="000A48D0">
        <w:rPr>
          <w:rFonts w:cs="Arial"/>
          <w:color w:val="000000"/>
          <w:sz w:val="20"/>
          <w:szCs w:val="20"/>
        </w:rPr>
        <w:t xml:space="preserve"> which need to be addressed to gain comfort that there is an overall net benefit, and that such analysis would have to be reworked in any case </w:t>
      </w:r>
      <w:proofErr w:type="gramStart"/>
      <w:r w:rsidRPr="000A48D0">
        <w:rPr>
          <w:rFonts w:cs="Arial"/>
          <w:color w:val="000000"/>
          <w:sz w:val="20"/>
          <w:szCs w:val="20"/>
        </w:rPr>
        <w:t>in light of</w:t>
      </w:r>
      <w:proofErr w:type="gramEnd"/>
      <w:r w:rsidRPr="000A48D0">
        <w:rPr>
          <w:rFonts w:cs="Arial"/>
          <w:color w:val="000000"/>
          <w:sz w:val="20"/>
          <w:szCs w:val="20"/>
        </w:rPr>
        <w:t xml:space="preserve"> a wider review of </w:t>
      </w:r>
      <w:proofErr w:type="spellStart"/>
      <w:r w:rsidRPr="000A48D0">
        <w:rPr>
          <w:rFonts w:cs="Arial"/>
          <w:color w:val="000000"/>
          <w:sz w:val="20"/>
          <w:szCs w:val="20"/>
        </w:rPr>
        <w:t>TNUoS</w:t>
      </w:r>
      <w:proofErr w:type="spellEnd"/>
      <w:r w:rsidRPr="000A48D0">
        <w:rPr>
          <w:rFonts w:cs="Arial"/>
          <w:color w:val="000000"/>
          <w:sz w:val="20"/>
          <w:szCs w:val="20"/>
        </w:rPr>
        <w:t>.</w:t>
      </w:r>
    </w:p>
    <w:p w14:paraId="0B6709D9" w14:textId="77777777" w:rsidR="00A64F96" w:rsidRPr="000A48D0" w:rsidRDefault="00A64F96" w:rsidP="000A48D0">
      <w:pPr>
        <w:autoSpaceDE w:val="0"/>
        <w:autoSpaceDN w:val="0"/>
        <w:adjustRightInd w:val="0"/>
        <w:spacing w:after="0"/>
        <w:jc w:val="both"/>
        <w:rPr>
          <w:rFonts w:ascii="Arial" w:hAnsi="Arial" w:cs="Arial"/>
          <w:color w:val="000000"/>
          <w:sz w:val="20"/>
          <w:szCs w:val="20"/>
        </w:rPr>
      </w:pPr>
    </w:p>
    <w:p w14:paraId="12EDC252" w14:textId="77777777" w:rsidR="00A64F96" w:rsidRPr="000A48D0" w:rsidRDefault="00A64F96" w:rsidP="00473DF5">
      <w:pPr>
        <w:autoSpaceDE w:val="0"/>
        <w:autoSpaceDN w:val="0"/>
        <w:adjustRightInd w:val="0"/>
        <w:spacing w:after="0"/>
        <w:jc w:val="both"/>
        <w:rPr>
          <w:rFonts w:ascii="Arial" w:hAnsi="Arial" w:cs="Arial"/>
          <w:bCs/>
          <w:color w:val="000000"/>
          <w:sz w:val="20"/>
          <w:szCs w:val="20"/>
        </w:rPr>
      </w:pPr>
      <w:r w:rsidRPr="000A48D0">
        <w:rPr>
          <w:rFonts w:ascii="Arial" w:hAnsi="Arial" w:cs="Arial"/>
          <w:bCs/>
          <w:color w:val="000000"/>
          <w:sz w:val="20"/>
          <w:szCs w:val="20"/>
        </w:rPr>
        <w:t xml:space="preserve">The key difference from Ofgem’s minded-to position as summarised in 5.33, is that while we do not disagree that there is a boundary issue to address, we are concerned that the CEPA-TNEI analysis presents a misleading picture of the outcome, and that such analysis should be stress-tested both in light of the </w:t>
      </w:r>
      <w:r w:rsidRPr="000A48D0">
        <w:rPr>
          <w:rFonts w:ascii="Arial" w:hAnsi="Arial" w:cs="Arial"/>
          <w:bCs/>
          <w:color w:val="000000"/>
          <w:sz w:val="20"/>
          <w:szCs w:val="20"/>
        </w:rPr>
        <w:lastRenderedPageBreak/>
        <w:t xml:space="preserve">practical issues we raise, and also in terms of Ofgem’s overall strategic aims and practical delivery of the UK’s ambitions for achieving net zero, before committing to implementation. </w:t>
      </w:r>
    </w:p>
    <w:p w14:paraId="79F1BB04" w14:textId="2D6B3501" w:rsidR="00B91722" w:rsidRPr="000A48D0" w:rsidRDefault="00B91722" w:rsidP="00473DF5">
      <w:pPr>
        <w:autoSpaceDE w:val="0"/>
        <w:autoSpaceDN w:val="0"/>
        <w:adjustRightInd w:val="0"/>
        <w:spacing w:after="0"/>
        <w:jc w:val="both"/>
        <w:rPr>
          <w:rFonts w:ascii="Arial" w:hAnsi="Arial" w:cs="Arial"/>
          <w:color w:val="000000"/>
          <w:sz w:val="20"/>
          <w:szCs w:val="20"/>
        </w:rPr>
      </w:pPr>
    </w:p>
    <w:p w14:paraId="6532E24B" w14:textId="52504F56" w:rsidR="00407969" w:rsidRPr="000A48D0" w:rsidRDefault="00A64F96" w:rsidP="00473DF5">
      <w:pPr>
        <w:autoSpaceDE w:val="0"/>
        <w:autoSpaceDN w:val="0"/>
        <w:adjustRightInd w:val="0"/>
        <w:spacing w:after="0"/>
        <w:jc w:val="both"/>
        <w:rPr>
          <w:rFonts w:ascii="Arial" w:hAnsi="Arial" w:cs="Arial"/>
          <w:color w:val="000000"/>
          <w:sz w:val="20"/>
          <w:szCs w:val="20"/>
        </w:rPr>
      </w:pPr>
      <w:r w:rsidRPr="00A13DDC">
        <w:rPr>
          <w:rFonts w:ascii="Arial" w:hAnsi="Arial" w:cs="Arial"/>
          <w:color w:val="000000"/>
          <w:sz w:val="20"/>
          <w:szCs w:val="20"/>
        </w:rPr>
        <w:t>Finally, if implementation were to be progressed,</w:t>
      </w:r>
      <w:r w:rsidRPr="000A48D0">
        <w:rPr>
          <w:rFonts w:ascii="Arial" w:hAnsi="Arial" w:cs="Arial"/>
          <w:color w:val="000000"/>
          <w:sz w:val="20"/>
          <w:szCs w:val="20"/>
        </w:rPr>
        <w:t xml:space="preserve"> </w:t>
      </w:r>
      <w:r w:rsidR="008F7CA6" w:rsidRPr="000A48D0">
        <w:rPr>
          <w:rFonts w:ascii="Arial" w:hAnsi="Arial" w:cs="Arial"/>
          <w:color w:val="000000"/>
          <w:sz w:val="20"/>
          <w:szCs w:val="20"/>
        </w:rPr>
        <w:t>it</w:t>
      </w:r>
      <w:r w:rsidR="00B35908" w:rsidRPr="000A48D0">
        <w:rPr>
          <w:rFonts w:ascii="Arial" w:hAnsi="Arial" w:cs="Arial"/>
          <w:color w:val="000000"/>
          <w:sz w:val="20"/>
          <w:szCs w:val="20"/>
        </w:rPr>
        <w:t xml:space="preserve"> is our view</w:t>
      </w:r>
      <w:r w:rsidR="003E6456" w:rsidRPr="000A48D0">
        <w:rPr>
          <w:rFonts w:ascii="Arial" w:hAnsi="Arial" w:cs="Arial"/>
          <w:color w:val="000000"/>
          <w:sz w:val="20"/>
          <w:szCs w:val="20"/>
        </w:rPr>
        <w:t xml:space="preserve"> that </w:t>
      </w:r>
      <w:r w:rsidR="003E6456" w:rsidRPr="000A48D0">
        <w:rPr>
          <w:rFonts w:ascii="Arial" w:hAnsi="Arial" w:cs="Arial"/>
          <w:b/>
          <w:bCs/>
          <w:color w:val="000000"/>
          <w:sz w:val="20"/>
          <w:szCs w:val="20"/>
        </w:rPr>
        <w:t>grandfathering</w:t>
      </w:r>
      <w:r w:rsidR="003E6456" w:rsidRPr="000A48D0">
        <w:rPr>
          <w:rFonts w:ascii="Arial" w:hAnsi="Arial" w:cs="Arial"/>
          <w:color w:val="000000"/>
          <w:sz w:val="20"/>
          <w:szCs w:val="20"/>
        </w:rPr>
        <w:t xml:space="preserve"> projects could be an option to help </w:t>
      </w:r>
      <w:r w:rsidR="00F45FFB" w:rsidRPr="000A48D0">
        <w:rPr>
          <w:rFonts w:ascii="Arial" w:hAnsi="Arial" w:cs="Arial"/>
          <w:color w:val="000000"/>
          <w:sz w:val="20"/>
          <w:szCs w:val="20"/>
        </w:rPr>
        <w:t>reduce risk for investors</w:t>
      </w:r>
      <w:r w:rsidR="003E6456" w:rsidRPr="000A48D0">
        <w:rPr>
          <w:rFonts w:ascii="Arial" w:hAnsi="Arial" w:cs="Arial"/>
          <w:color w:val="000000"/>
          <w:sz w:val="20"/>
          <w:szCs w:val="20"/>
        </w:rPr>
        <w:t xml:space="preserve">. </w:t>
      </w:r>
      <w:r w:rsidR="00625F74" w:rsidRPr="000A48D0">
        <w:rPr>
          <w:rFonts w:ascii="Arial" w:hAnsi="Arial" w:cs="Arial"/>
          <w:color w:val="000000"/>
          <w:sz w:val="20"/>
          <w:szCs w:val="20"/>
        </w:rPr>
        <w:t xml:space="preserve">This mainly because big changes to the regulatory environment during the operation phase will harm investor confidence. People have invested based on clear charging regimes – for renewables this investment is up front for long term assets with no ability to pass through cost changes. </w:t>
      </w:r>
      <w:proofErr w:type="gramStart"/>
      <w:r w:rsidR="00625F74" w:rsidRPr="000A48D0">
        <w:rPr>
          <w:rFonts w:ascii="Arial" w:hAnsi="Arial" w:cs="Arial"/>
          <w:color w:val="000000"/>
          <w:sz w:val="20"/>
          <w:szCs w:val="20"/>
        </w:rPr>
        <w:t>A</w:t>
      </w:r>
      <w:r w:rsidR="00BF1E73" w:rsidRPr="000A48D0">
        <w:rPr>
          <w:rFonts w:ascii="Arial" w:hAnsi="Arial" w:cs="Arial"/>
          <w:color w:val="000000"/>
          <w:sz w:val="20"/>
          <w:szCs w:val="20"/>
        </w:rPr>
        <w:t>s a consequence</w:t>
      </w:r>
      <w:proofErr w:type="gramEnd"/>
      <w:r w:rsidR="00625F74" w:rsidRPr="000A48D0">
        <w:rPr>
          <w:rFonts w:ascii="Arial" w:hAnsi="Arial" w:cs="Arial"/>
          <w:color w:val="000000"/>
          <w:sz w:val="20"/>
          <w:szCs w:val="20"/>
        </w:rPr>
        <w:t>,</w:t>
      </w:r>
      <w:r w:rsidR="00F45FFB" w:rsidRPr="000A48D0">
        <w:rPr>
          <w:rFonts w:ascii="Arial" w:hAnsi="Arial" w:cs="Arial"/>
          <w:color w:val="000000"/>
          <w:sz w:val="20"/>
          <w:szCs w:val="20"/>
        </w:rPr>
        <w:t xml:space="preserve"> this could</w:t>
      </w:r>
      <w:r w:rsidR="00625F74" w:rsidRPr="000A48D0">
        <w:rPr>
          <w:rFonts w:ascii="Arial" w:hAnsi="Arial" w:cs="Arial"/>
          <w:color w:val="000000"/>
          <w:sz w:val="20"/>
          <w:szCs w:val="20"/>
        </w:rPr>
        <w:t xml:space="preserve"> impact operational sites </w:t>
      </w:r>
      <w:r w:rsidR="00F45FFB" w:rsidRPr="000A48D0">
        <w:rPr>
          <w:rFonts w:ascii="Arial" w:hAnsi="Arial" w:cs="Arial"/>
          <w:color w:val="000000"/>
          <w:sz w:val="20"/>
          <w:szCs w:val="20"/>
        </w:rPr>
        <w:t>and it</w:t>
      </w:r>
      <w:r w:rsidR="00625F74" w:rsidRPr="000A48D0">
        <w:rPr>
          <w:rFonts w:ascii="Arial" w:hAnsi="Arial" w:cs="Arial"/>
          <w:color w:val="000000"/>
          <w:sz w:val="20"/>
          <w:szCs w:val="20"/>
        </w:rPr>
        <w:t xml:space="preserve"> will increase the risk for new sites</w:t>
      </w:r>
      <w:r w:rsidR="00F45FFB" w:rsidRPr="000A48D0">
        <w:rPr>
          <w:rFonts w:ascii="Arial" w:hAnsi="Arial" w:cs="Arial"/>
          <w:color w:val="000000"/>
          <w:sz w:val="20"/>
          <w:szCs w:val="20"/>
        </w:rPr>
        <w:t xml:space="preserve">, which may </w:t>
      </w:r>
      <w:r w:rsidR="00625F74" w:rsidRPr="000A48D0">
        <w:rPr>
          <w:rFonts w:ascii="Arial" w:hAnsi="Arial" w:cs="Arial"/>
          <w:color w:val="000000"/>
          <w:sz w:val="20"/>
          <w:szCs w:val="20"/>
        </w:rPr>
        <w:t>mean that some development projects do not materialise.</w:t>
      </w:r>
    </w:p>
    <w:p w14:paraId="433F9023" w14:textId="77777777" w:rsidR="00673242" w:rsidRPr="000A48D0" w:rsidRDefault="00673242" w:rsidP="00473DF5">
      <w:pPr>
        <w:autoSpaceDE w:val="0"/>
        <w:autoSpaceDN w:val="0"/>
        <w:adjustRightInd w:val="0"/>
        <w:spacing w:after="0"/>
        <w:jc w:val="both"/>
        <w:rPr>
          <w:rFonts w:ascii="Arial" w:hAnsi="Arial" w:cs="Arial"/>
          <w:color w:val="000000"/>
          <w:sz w:val="20"/>
          <w:szCs w:val="20"/>
        </w:rPr>
      </w:pPr>
    </w:p>
    <w:p w14:paraId="0A115062" w14:textId="6E007E3E" w:rsidR="007D13FD" w:rsidRPr="00A13DDC" w:rsidRDefault="00673242" w:rsidP="00473DF5">
      <w:pPr>
        <w:autoSpaceDE w:val="0"/>
        <w:autoSpaceDN w:val="0"/>
        <w:adjustRightInd w:val="0"/>
        <w:spacing w:after="0"/>
        <w:jc w:val="both"/>
        <w:rPr>
          <w:rFonts w:ascii="Arial" w:hAnsi="Arial" w:cs="Arial"/>
          <w:color w:val="000000"/>
          <w:sz w:val="20"/>
          <w:szCs w:val="20"/>
        </w:rPr>
      </w:pPr>
      <w:r w:rsidRPr="00A13DDC">
        <w:rPr>
          <w:rFonts w:ascii="Arial" w:hAnsi="Arial" w:cs="Arial"/>
          <w:color w:val="000000"/>
          <w:sz w:val="20"/>
          <w:szCs w:val="20"/>
        </w:rPr>
        <w:t xml:space="preserve">We acknowledge that investment in the energy sector is not risk-free, and that investors should anticipate a certain level of variation in network charges over the life of the project. However, the introduction of transmission charges on generators who, if investing prior to 2016, would have seen </w:t>
      </w:r>
      <w:proofErr w:type="spellStart"/>
      <w:r w:rsidRPr="00A13DDC">
        <w:rPr>
          <w:rFonts w:ascii="Arial" w:hAnsi="Arial" w:cs="Arial"/>
          <w:color w:val="000000"/>
          <w:sz w:val="20"/>
          <w:szCs w:val="20"/>
        </w:rPr>
        <w:t>TNUoS</w:t>
      </w:r>
      <w:proofErr w:type="spellEnd"/>
      <w:r w:rsidRPr="00A13DDC">
        <w:rPr>
          <w:rFonts w:ascii="Arial" w:hAnsi="Arial" w:cs="Arial"/>
          <w:color w:val="000000"/>
          <w:sz w:val="20"/>
          <w:szCs w:val="20"/>
        </w:rPr>
        <w:t xml:space="preserve"> as a benefit, represents a substantive change in the framework they invested in.</w:t>
      </w:r>
    </w:p>
    <w:p w14:paraId="23F7FA53" w14:textId="7B4B07E8" w:rsidR="008F7CA6" w:rsidRPr="00A13DDC" w:rsidRDefault="008F7CA6" w:rsidP="00473DF5">
      <w:pPr>
        <w:autoSpaceDE w:val="0"/>
        <w:autoSpaceDN w:val="0"/>
        <w:adjustRightInd w:val="0"/>
        <w:spacing w:after="0"/>
        <w:jc w:val="both"/>
        <w:rPr>
          <w:rFonts w:ascii="Arial" w:hAnsi="Arial" w:cs="Arial"/>
          <w:color w:val="000000"/>
          <w:sz w:val="20"/>
          <w:szCs w:val="20"/>
        </w:rPr>
      </w:pPr>
    </w:p>
    <w:p w14:paraId="087B539C" w14:textId="46B79D4D" w:rsidR="008F7CA6" w:rsidRPr="000A48D0" w:rsidRDefault="008F7CA6" w:rsidP="00473DF5">
      <w:pPr>
        <w:autoSpaceDE w:val="0"/>
        <w:autoSpaceDN w:val="0"/>
        <w:adjustRightInd w:val="0"/>
        <w:spacing w:after="0"/>
        <w:jc w:val="both"/>
        <w:rPr>
          <w:rFonts w:ascii="Arial" w:hAnsi="Arial" w:cs="Arial"/>
          <w:color w:val="000000"/>
          <w:sz w:val="20"/>
          <w:szCs w:val="20"/>
        </w:rPr>
      </w:pPr>
      <w:r w:rsidRPr="00A13DDC">
        <w:rPr>
          <w:rFonts w:ascii="Arial" w:hAnsi="Arial" w:cs="Arial"/>
          <w:color w:val="000000"/>
          <w:sz w:val="20"/>
          <w:szCs w:val="20"/>
        </w:rPr>
        <w:t>We have the following evidence that support</w:t>
      </w:r>
      <w:r w:rsidR="00CB1850" w:rsidRPr="00A13DDC">
        <w:rPr>
          <w:rFonts w:ascii="Arial" w:hAnsi="Arial" w:cs="Arial"/>
          <w:color w:val="000000"/>
          <w:sz w:val="20"/>
          <w:szCs w:val="20"/>
        </w:rPr>
        <w:t>s</w:t>
      </w:r>
      <w:r w:rsidRPr="00A13DDC">
        <w:rPr>
          <w:rFonts w:ascii="Arial" w:hAnsi="Arial" w:cs="Arial"/>
          <w:color w:val="000000"/>
          <w:sz w:val="20"/>
          <w:szCs w:val="20"/>
        </w:rPr>
        <w:t xml:space="preserve"> our preferred options:</w:t>
      </w:r>
    </w:p>
    <w:p w14:paraId="25CCBAED" w14:textId="3A2BCD52" w:rsidR="008F7CA6" w:rsidRPr="000A48D0" w:rsidRDefault="008F7CA6" w:rsidP="000A48D0">
      <w:pPr>
        <w:autoSpaceDE w:val="0"/>
        <w:autoSpaceDN w:val="0"/>
        <w:adjustRightInd w:val="0"/>
        <w:spacing w:after="0"/>
        <w:jc w:val="both"/>
        <w:rPr>
          <w:rFonts w:ascii="Arial" w:hAnsi="Arial" w:cs="Arial"/>
          <w:color w:val="000000"/>
          <w:sz w:val="20"/>
          <w:szCs w:val="20"/>
        </w:rPr>
      </w:pPr>
    </w:p>
    <w:p w14:paraId="68FBD86B" w14:textId="087D403E" w:rsidR="008F7CA6" w:rsidRPr="000A48D0" w:rsidRDefault="008F7CA6" w:rsidP="000A48D0">
      <w:pPr>
        <w:pStyle w:val="ListParagraph"/>
        <w:numPr>
          <w:ilvl w:val="0"/>
          <w:numId w:val="24"/>
        </w:numPr>
        <w:autoSpaceDE w:val="0"/>
        <w:autoSpaceDN w:val="0"/>
        <w:adjustRightInd w:val="0"/>
        <w:spacing w:after="0" w:line="276" w:lineRule="auto"/>
        <w:jc w:val="both"/>
        <w:rPr>
          <w:rFonts w:cs="Arial"/>
          <w:b/>
          <w:bCs/>
          <w:color w:val="000000"/>
          <w:sz w:val="20"/>
          <w:szCs w:val="20"/>
        </w:rPr>
      </w:pPr>
      <w:r w:rsidRPr="000A48D0">
        <w:rPr>
          <w:rFonts w:cs="Arial"/>
          <w:b/>
          <w:bCs/>
          <w:color w:val="000000"/>
          <w:sz w:val="20"/>
          <w:szCs w:val="20"/>
        </w:rPr>
        <w:t>Resulting Tariffs and Possible Reform</w:t>
      </w:r>
    </w:p>
    <w:p w14:paraId="20AA7564"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466632C0"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We welcome the consideration of whether the wider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methodology will remain fit-for-purpose (2.29 – 2.31), and we are strongly supportive of such a review, in parallel with any necessary quick-fixes to the methodology, as we set out in more detail in our answer to 5g.</w:t>
      </w:r>
    </w:p>
    <w:p w14:paraId="59B5DD25"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30F1B5C6" w14:textId="508A9CB9"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By way of example, we note the modelled tariffs out to 2040, showing the Wider Circuit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capacity charge averaged to each DNO region (quantitative analysis document, p29 Table 5.3), which stakeholders may infer as a direction of travel for the status quo methodology. The outcomes are a strong signal to incentivise fossil-fuel generation anywhere in England or Wales, and even to pay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credits to fossil-fuel generation throughout Scotland, despite the principles which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was designed to deliver. On the other hand, the only generation making payments for wider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is low carbon conventional and variable renewables in Scotland alone. These outcomes are hard to reconcile against cost-reflectivity, nor against reasonable regulatory uncertainty for existing generators. Above all, these outcomes are hard to reconcile with the deployment of variable renewables required to meet net zero pathways. The published table is summarised below for illustration (EET column):</w:t>
      </w:r>
    </w:p>
    <w:p w14:paraId="70AB3D9F" w14:textId="7467E37C" w:rsidR="008F7CA6" w:rsidRPr="000A48D0" w:rsidRDefault="008F7CA6" w:rsidP="000A48D0">
      <w:pPr>
        <w:autoSpaceDE w:val="0"/>
        <w:autoSpaceDN w:val="0"/>
        <w:adjustRightInd w:val="0"/>
        <w:spacing w:after="0"/>
        <w:jc w:val="both"/>
        <w:rPr>
          <w:rFonts w:ascii="Arial" w:hAnsi="Arial" w:cs="Arial"/>
          <w:color w:val="000000"/>
          <w:sz w:val="20"/>
          <w:szCs w:val="20"/>
        </w:rPr>
      </w:pPr>
    </w:p>
    <w:p w14:paraId="508F0D73" w14:textId="1B03C2EE" w:rsidR="008F7CA6" w:rsidRPr="000A48D0" w:rsidRDefault="008F7CA6" w:rsidP="000A48D0">
      <w:pPr>
        <w:autoSpaceDE w:val="0"/>
        <w:autoSpaceDN w:val="0"/>
        <w:adjustRightInd w:val="0"/>
        <w:spacing w:after="0"/>
        <w:jc w:val="center"/>
        <w:rPr>
          <w:rFonts w:ascii="Arial" w:hAnsi="Arial" w:cs="Arial"/>
          <w:color w:val="000000"/>
          <w:sz w:val="20"/>
          <w:szCs w:val="20"/>
        </w:rPr>
      </w:pPr>
      <w:r w:rsidRPr="000A48D0">
        <w:rPr>
          <w:rFonts w:ascii="Arial" w:hAnsi="Arial" w:cs="Arial"/>
          <w:noProof/>
          <w:sz w:val="20"/>
          <w:szCs w:val="20"/>
        </w:rPr>
        <w:drawing>
          <wp:inline distT="0" distB="0" distL="0" distR="0" wp14:anchorId="7A59E93E" wp14:editId="6655E5FC">
            <wp:extent cx="2758731" cy="2989690"/>
            <wp:effectExtent l="0" t="0" r="3810" b="1270"/>
            <wp:docPr id="3" name="Picture 3" descr="Capacity charge &#10;Capacity charge &#10;ElkW, &#10;ElkW, Low Carbon &#10;Dist &#10;2 &#10;3 &#10;4 &#10;5 &#10;6 &#10;7 &#10;8 &#10;9 &#10;10 &#10;11 &#10;12 &#10;13 &#10;14 &#10;Conventional &#10;generators &#10;generators &#10;-3.56 &#10;-5.72 &#10;-7.67 &#10;-8.32 &#10;-8.97 &#10;-8.97 &#10;-13.55 &#10;-13.55 &#10;-13.17 &#10;-13.55 &#10;-14.69 &#10;-13.55 &#10;-14.69 &#10;54.02 &#10;29.17 &#10;-0.24 &#10;-4.55 &#10;-8.86 &#10;-8.86 &#10;-18.44 &#10;-18.44 &#10;-16.37 &#10;-18.44 &#10;-19.48 &#10;-18.44 &#10;-19.48 &#10;-19.48 &#10;Capacity charge &#10;ElkW, Intermittent &#10;generators &#10;54.46 &#10;29.91 &#10;-0.17 &#10;426 &#10;-8.35 &#10;-8.35 &#10;-13.86 &#10;-13.86 &#10;-12.04 &#10;-13.86 &#10;-13.74 &#10;-13.86 &#10;-13.74 &#10;-13.74 &#10;Ofgem July 2021- Access &amp; Forward Looking Charges SCR Minded-To Publication - document &#10;(3) CEPA-TNEI Quantitative Analysis, page 29 Table 5.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y charge &#10;Capacity charge &#10;ElkW, &#10;ElkW, Low Carbon &#10;Dist &#10;2 &#10;3 &#10;4 &#10;5 &#10;6 &#10;7 &#10;8 &#10;9 &#10;10 &#10;11 &#10;12 &#10;13 &#10;14 &#10;Conventional &#10;generators &#10;generators &#10;-3.56 &#10;-5.72 &#10;-7.67 &#10;-8.32 &#10;-8.97 &#10;-8.97 &#10;-13.55 &#10;-13.55 &#10;-13.17 &#10;-13.55 &#10;-14.69 &#10;-13.55 &#10;-14.69 &#10;54.02 &#10;29.17 &#10;-0.24 &#10;-4.55 &#10;-8.86 &#10;-8.86 &#10;-18.44 &#10;-18.44 &#10;-16.37 &#10;-18.44 &#10;-19.48 &#10;-18.44 &#10;-19.48 &#10;-19.48 &#10;Capacity charge &#10;ElkW, Intermittent &#10;generators &#10;54.46 &#10;29.91 &#10;-0.17 &#10;426 &#10;-8.35 &#10;-8.35 &#10;-13.86 &#10;-13.86 &#10;-12.04 &#10;-13.86 &#10;-13.74 &#10;-13.86 &#10;-13.74 &#10;-13.74 &#10;Ofgem July 2021- Access &amp; Forward Looking Charges SCR Minded-To Publication - document &#10;(3) CEPA-TNEI Quantitative Analysis, page 29 Table 5.3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718" cy="2992927"/>
                    </a:xfrm>
                    <a:prstGeom prst="rect">
                      <a:avLst/>
                    </a:prstGeom>
                    <a:noFill/>
                    <a:ln>
                      <a:noFill/>
                    </a:ln>
                  </pic:spPr>
                </pic:pic>
              </a:graphicData>
            </a:graphic>
          </wp:inline>
        </w:drawing>
      </w:r>
    </w:p>
    <w:p w14:paraId="43D744E5"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lastRenderedPageBreak/>
        <w:t xml:space="preserve"> </w:t>
      </w:r>
    </w:p>
    <w:p w14:paraId="3D70979C" w14:textId="347AE879"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We believe that these tariff signals are indicative of the need for a wider review of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w:t>
      </w:r>
    </w:p>
    <w:p w14:paraId="6F9A5F8F" w14:textId="77777777" w:rsidR="00673242" w:rsidRPr="000A48D0" w:rsidRDefault="00673242" w:rsidP="000A48D0">
      <w:pPr>
        <w:autoSpaceDE w:val="0"/>
        <w:autoSpaceDN w:val="0"/>
        <w:adjustRightInd w:val="0"/>
        <w:spacing w:after="0"/>
        <w:jc w:val="both"/>
        <w:rPr>
          <w:rFonts w:ascii="Arial" w:hAnsi="Arial" w:cs="Arial"/>
          <w:color w:val="000000"/>
          <w:sz w:val="20"/>
          <w:szCs w:val="20"/>
        </w:rPr>
      </w:pPr>
    </w:p>
    <w:p w14:paraId="05D76D91" w14:textId="1802D7FF" w:rsidR="008F7CA6" w:rsidRPr="000A48D0" w:rsidRDefault="008F7CA6" w:rsidP="000A48D0">
      <w:pPr>
        <w:pStyle w:val="ListParagraph"/>
        <w:numPr>
          <w:ilvl w:val="0"/>
          <w:numId w:val="24"/>
        </w:numPr>
        <w:autoSpaceDE w:val="0"/>
        <w:autoSpaceDN w:val="0"/>
        <w:adjustRightInd w:val="0"/>
        <w:spacing w:after="0" w:line="276" w:lineRule="auto"/>
        <w:jc w:val="both"/>
        <w:rPr>
          <w:rFonts w:cs="Arial"/>
          <w:b/>
          <w:bCs/>
          <w:color w:val="000000"/>
          <w:sz w:val="20"/>
          <w:szCs w:val="20"/>
        </w:rPr>
      </w:pPr>
      <w:r w:rsidRPr="000A48D0">
        <w:rPr>
          <w:rFonts w:cs="Arial"/>
          <w:b/>
          <w:bCs/>
          <w:color w:val="000000"/>
          <w:sz w:val="20"/>
          <w:szCs w:val="20"/>
        </w:rPr>
        <w:t xml:space="preserve">Material flaws in the Quantitative Analysis </w:t>
      </w:r>
    </w:p>
    <w:p w14:paraId="34930F2B"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08B9C701"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The accompanying CEPA-TNEI quantitative analysis has </w:t>
      </w:r>
      <w:proofErr w:type="gramStart"/>
      <w:r w:rsidRPr="000A48D0">
        <w:rPr>
          <w:rFonts w:ascii="Arial" w:hAnsi="Arial" w:cs="Arial"/>
          <w:color w:val="000000"/>
          <w:sz w:val="20"/>
          <w:szCs w:val="20"/>
        </w:rPr>
        <w:t>a number of</w:t>
      </w:r>
      <w:proofErr w:type="gramEnd"/>
      <w:r w:rsidRPr="000A48D0">
        <w:rPr>
          <w:rFonts w:ascii="Arial" w:hAnsi="Arial" w:cs="Arial"/>
          <w:color w:val="000000"/>
          <w:sz w:val="20"/>
          <w:szCs w:val="20"/>
        </w:rPr>
        <w:t xml:space="preserve"> serious flaws which will have provided misleading conclusions. We know that members wrote to Ofgem seeking clarification of the modelling detail, but that to date these concerns have not been addressed; we hope that these can usefully improve the analysis, notably in the case that the analysis needs to be repeated </w:t>
      </w:r>
      <w:proofErr w:type="gramStart"/>
      <w:r w:rsidRPr="000A48D0">
        <w:rPr>
          <w:rFonts w:ascii="Arial" w:hAnsi="Arial" w:cs="Arial"/>
          <w:color w:val="000000"/>
          <w:sz w:val="20"/>
          <w:szCs w:val="20"/>
        </w:rPr>
        <w:t>in light of</w:t>
      </w:r>
      <w:proofErr w:type="gramEnd"/>
      <w:r w:rsidRPr="000A48D0">
        <w:rPr>
          <w:rFonts w:ascii="Arial" w:hAnsi="Arial" w:cs="Arial"/>
          <w:color w:val="000000"/>
          <w:sz w:val="20"/>
          <w:szCs w:val="20"/>
        </w:rPr>
        <w:t xml:space="preserve"> a wider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review.</w:t>
      </w:r>
    </w:p>
    <w:p w14:paraId="5A1437CB"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54AD5D0F"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It is welcome that </w:t>
      </w:r>
      <w:proofErr w:type="gramStart"/>
      <w:r w:rsidRPr="000A48D0">
        <w:rPr>
          <w:rFonts w:ascii="Arial" w:hAnsi="Arial" w:cs="Arial"/>
          <w:color w:val="000000"/>
          <w:sz w:val="20"/>
          <w:szCs w:val="20"/>
        </w:rPr>
        <w:t>a number of</w:t>
      </w:r>
      <w:proofErr w:type="gramEnd"/>
      <w:r w:rsidRPr="000A48D0">
        <w:rPr>
          <w:rFonts w:ascii="Arial" w:hAnsi="Arial" w:cs="Arial"/>
          <w:color w:val="000000"/>
          <w:sz w:val="20"/>
          <w:szCs w:val="20"/>
        </w:rPr>
        <w:t xml:space="preserve"> the flaws have been acknowledged in the report – such as the unrealistic assumptions around planning consent and the unknown pipeline for replacement projects in other regions – but there are further issues which call into question the resulting conclusions. Corrected analysis could well show that the Minded-To Position results in a net disbenefit to consumers and more certainly an increase in carbon emissions.</w:t>
      </w:r>
    </w:p>
    <w:p w14:paraId="19D7DB06"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08FA2F1A"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Key flaws include:</w:t>
      </w:r>
    </w:p>
    <w:p w14:paraId="00EDBB96" w14:textId="510C9106" w:rsidR="008F7CA6" w:rsidRPr="000A48D0" w:rsidRDefault="008F7CA6" w:rsidP="000A48D0">
      <w:pPr>
        <w:pStyle w:val="ListParagraph"/>
        <w:numPr>
          <w:ilvl w:val="0"/>
          <w:numId w:val="25"/>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 xml:space="preserve">Misapplication of </w:t>
      </w:r>
      <w:proofErr w:type="spellStart"/>
      <w:r w:rsidRPr="000A48D0">
        <w:rPr>
          <w:rFonts w:cs="Arial"/>
          <w:color w:val="000000"/>
          <w:sz w:val="20"/>
          <w:szCs w:val="20"/>
        </w:rPr>
        <w:t>TNUoS</w:t>
      </w:r>
      <w:proofErr w:type="spellEnd"/>
      <w:r w:rsidRPr="000A48D0">
        <w:rPr>
          <w:rFonts w:cs="Arial"/>
          <w:color w:val="000000"/>
          <w:sz w:val="20"/>
          <w:szCs w:val="20"/>
        </w:rPr>
        <w:t xml:space="preserve"> credits</w:t>
      </w:r>
    </w:p>
    <w:p w14:paraId="3B421361" w14:textId="068D9FE3" w:rsidR="008F7CA6" w:rsidRPr="000A48D0" w:rsidRDefault="008F7CA6" w:rsidP="000A48D0">
      <w:pPr>
        <w:pStyle w:val="ListParagraph"/>
        <w:numPr>
          <w:ilvl w:val="0"/>
          <w:numId w:val="25"/>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Misapplication of revenue-replacement support costs</w:t>
      </w:r>
    </w:p>
    <w:p w14:paraId="70EE3851" w14:textId="0E618701" w:rsidR="008F7CA6" w:rsidRPr="000A48D0" w:rsidRDefault="008F7CA6" w:rsidP="000A48D0">
      <w:pPr>
        <w:pStyle w:val="ListParagraph"/>
        <w:numPr>
          <w:ilvl w:val="0"/>
          <w:numId w:val="25"/>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Assumptions of sufficient and timely delivery pipeline in southern regions</w:t>
      </w:r>
    </w:p>
    <w:p w14:paraId="7DF37D0C" w14:textId="1DF256D0" w:rsidR="008F7CA6" w:rsidRPr="000A48D0" w:rsidRDefault="008F7CA6" w:rsidP="000A48D0">
      <w:pPr>
        <w:pStyle w:val="ListParagraph"/>
        <w:numPr>
          <w:ilvl w:val="0"/>
          <w:numId w:val="25"/>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No adjustment of nameplate capacity to compensate for lower average load factor generation</w:t>
      </w:r>
    </w:p>
    <w:p w14:paraId="01113EDB" w14:textId="7F543530" w:rsidR="008F7CA6" w:rsidRPr="000A48D0" w:rsidRDefault="008F7CA6" w:rsidP="000A48D0">
      <w:pPr>
        <w:pStyle w:val="ListParagraph"/>
        <w:numPr>
          <w:ilvl w:val="0"/>
          <w:numId w:val="25"/>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No recognition of geographic diversity benefits of variable renewables</w:t>
      </w:r>
    </w:p>
    <w:p w14:paraId="0DA51707" w14:textId="4A1103B6" w:rsidR="008F7CA6" w:rsidRPr="000A48D0" w:rsidRDefault="008F7CA6" w:rsidP="000A48D0">
      <w:pPr>
        <w:pStyle w:val="ListParagraph"/>
        <w:numPr>
          <w:ilvl w:val="0"/>
          <w:numId w:val="25"/>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No adjustment of flexibility requirements to meet the less diverse and lower load factor generation mix.</w:t>
      </w:r>
    </w:p>
    <w:p w14:paraId="11711541" w14:textId="79782CD5" w:rsidR="008F7CA6" w:rsidRPr="000A48D0" w:rsidRDefault="008F7CA6" w:rsidP="000A48D0">
      <w:pPr>
        <w:pStyle w:val="ListParagraph"/>
        <w:numPr>
          <w:ilvl w:val="0"/>
          <w:numId w:val="25"/>
        </w:numPr>
        <w:autoSpaceDE w:val="0"/>
        <w:autoSpaceDN w:val="0"/>
        <w:adjustRightInd w:val="0"/>
        <w:spacing w:after="0" w:line="276" w:lineRule="auto"/>
        <w:jc w:val="both"/>
        <w:rPr>
          <w:rFonts w:cs="Arial"/>
          <w:color w:val="000000"/>
          <w:sz w:val="20"/>
          <w:szCs w:val="20"/>
        </w:rPr>
      </w:pPr>
      <w:r w:rsidRPr="000A48D0">
        <w:rPr>
          <w:rFonts w:cs="Arial"/>
          <w:color w:val="000000"/>
          <w:sz w:val="20"/>
          <w:szCs w:val="20"/>
        </w:rPr>
        <w:t>Assumptions of zero early closures</w:t>
      </w:r>
    </w:p>
    <w:p w14:paraId="3A4915F3"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2CE20944"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credits have been misapplied in the modelling, mistakenly removing a signal to support triad generation by SDG. The sharper signal of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rather than the EET applied to southern generation would more likely see carbon emissions rise </w:t>
      </w:r>
      <w:proofErr w:type="gramStart"/>
      <w:r w:rsidRPr="000A48D0">
        <w:rPr>
          <w:rFonts w:ascii="Arial" w:hAnsi="Arial" w:cs="Arial"/>
          <w:color w:val="000000"/>
          <w:sz w:val="20"/>
          <w:szCs w:val="20"/>
        </w:rPr>
        <w:t>as a result of</w:t>
      </w:r>
      <w:proofErr w:type="gramEnd"/>
      <w:r w:rsidRPr="000A48D0">
        <w:rPr>
          <w:rFonts w:ascii="Arial" w:hAnsi="Arial" w:cs="Arial"/>
          <w:color w:val="000000"/>
          <w:sz w:val="20"/>
          <w:szCs w:val="20"/>
        </w:rPr>
        <w:t xml:space="preserve"> the proposed change. Quantitative Analysis p28 states “the reforms remove the operational incentive on embedded generators in the southern zones to export over expected Triad periods”, whereas ESO pays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credits based on the average output during triad, retaining the triad signal. A smaller but similar-direction effect comes from applying Ofgem’s TCR decision to floor demand locational charges at zero; even if un-floored, this would remove any corresponding EET charge applied to eligible (Northern) SDG, mitigating the perverse signal to turn-off during triad, but also mitigating the claimed carbon emissions reduction.</w:t>
      </w:r>
    </w:p>
    <w:p w14:paraId="768A408E"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30DB7309"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Government support costs are mistakenly assumed to be tailored precisely to each region and separately to each generator technology (and without any delay which might impact deployment decisions). This is not representative of the </w:t>
      </w:r>
      <w:proofErr w:type="spellStart"/>
      <w:r w:rsidRPr="000A48D0">
        <w:rPr>
          <w:rFonts w:ascii="Arial" w:hAnsi="Arial" w:cs="Arial"/>
          <w:color w:val="000000"/>
          <w:sz w:val="20"/>
          <w:szCs w:val="20"/>
        </w:rPr>
        <w:t>CfD</w:t>
      </w:r>
      <w:proofErr w:type="spellEnd"/>
      <w:r w:rsidRPr="000A48D0">
        <w:rPr>
          <w:rFonts w:ascii="Arial" w:hAnsi="Arial" w:cs="Arial"/>
          <w:color w:val="000000"/>
          <w:sz w:val="20"/>
          <w:szCs w:val="20"/>
        </w:rPr>
        <w:t xml:space="preserve"> process, which has a single clearance price for all GB for a given ‘pot’ of technologies. The result in excess support for southern generation (which has the clearance price unduly lifted by the imperfect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locational signal). The resulting inefficiency will lead to a ‘support costs’ impact much larger than has been modelled.</w:t>
      </w:r>
    </w:p>
    <w:p w14:paraId="6DD8E606"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34FD7881"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It is also an optimistic assumption that the revenue ‘loss’ through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change will be perfectly offset in time and that there will be no investment delay and no risk premium adjustment </w:t>
      </w:r>
      <w:proofErr w:type="gramStart"/>
      <w:r w:rsidRPr="000A48D0">
        <w:rPr>
          <w:rFonts w:ascii="Arial" w:hAnsi="Arial" w:cs="Arial"/>
          <w:color w:val="000000"/>
          <w:sz w:val="20"/>
          <w:szCs w:val="20"/>
        </w:rPr>
        <w:t>as a result of</w:t>
      </w:r>
      <w:proofErr w:type="gramEnd"/>
      <w:r w:rsidRPr="000A48D0">
        <w:rPr>
          <w:rFonts w:ascii="Arial" w:hAnsi="Arial" w:cs="Arial"/>
          <w:color w:val="000000"/>
          <w:sz w:val="20"/>
          <w:szCs w:val="20"/>
        </w:rPr>
        <w:t xml:space="preserve"> the changes. The timing element has only downside risk for the quantitative analysis. On a related point, we would point out that it is optimistic to assume a seamless transition of pipeline projects from one region to another. </w:t>
      </w:r>
    </w:p>
    <w:p w14:paraId="7B04BE4F"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0005C78D"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We note that geographic diversity of variable renewables has not been fully accounted for modelling. The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signal to focus these renewables </w:t>
      </w:r>
      <w:proofErr w:type="gramStart"/>
      <w:r w:rsidRPr="000A48D0">
        <w:rPr>
          <w:rFonts w:ascii="Arial" w:hAnsi="Arial" w:cs="Arial"/>
          <w:color w:val="000000"/>
          <w:sz w:val="20"/>
          <w:szCs w:val="20"/>
        </w:rPr>
        <w:t>in</w:t>
      </w:r>
      <w:proofErr w:type="gramEnd"/>
      <w:r w:rsidRPr="000A48D0">
        <w:rPr>
          <w:rFonts w:ascii="Arial" w:hAnsi="Arial" w:cs="Arial"/>
          <w:color w:val="000000"/>
          <w:sz w:val="20"/>
          <w:szCs w:val="20"/>
        </w:rPr>
        <w:t xml:space="preserve"> closer proximity, in the centre and south of GB, corresponds to greater volatility of output, leading to extremes of pricing and greater requirements for balancing actions </w:t>
      </w:r>
      <w:r w:rsidRPr="000A48D0">
        <w:rPr>
          <w:rFonts w:ascii="Arial" w:hAnsi="Arial" w:cs="Arial"/>
          <w:color w:val="000000"/>
          <w:sz w:val="20"/>
          <w:szCs w:val="20"/>
        </w:rPr>
        <w:lastRenderedPageBreak/>
        <w:t>(increased balancing costs to consumers) and greater requirements for flexibility (more nameplate capacity of battery storage or similar for each MW of variable renewables). When correctly factored in this will act against the claimed benefit.</w:t>
      </w:r>
    </w:p>
    <w:p w14:paraId="78C52098"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3D806626"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Among the acknowledged modelling flaws, a few are worth drawing out as the implications are very material to the possibility of any benefit or disbenefit coming from the proposed change.  </w:t>
      </w:r>
    </w:p>
    <w:p w14:paraId="01DB9C0C"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60FE1C79" w14:textId="278F3CE3"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sz w:val="20"/>
          <w:szCs w:val="20"/>
        </w:rPr>
        <w:t>According to the 2021 FES report</w:t>
      </w:r>
      <w:r w:rsidRPr="000A48D0">
        <w:rPr>
          <w:rStyle w:val="FootnoteReference"/>
          <w:rFonts w:ascii="Arial" w:hAnsi="Arial" w:cs="Arial"/>
          <w:sz w:val="20"/>
          <w:szCs w:val="20"/>
        </w:rPr>
        <w:footnoteReference w:id="2"/>
      </w:r>
      <w:r w:rsidRPr="000A48D0">
        <w:rPr>
          <w:rFonts w:ascii="Arial" w:hAnsi="Arial" w:cs="Arial"/>
          <w:sz w:val="20"/>
          <w:szCs w:val="20"/>
        </w:rPr>
        <w:t>, in the consumer transformation scenario (the main scenario taken by Ofgem in its analysis) we will need 44GW of onshore wind by 2050, which in terms of resource is mostly expected to be deployed in Scotland</w:t>
      </w:r>
      <w:r w:rsidRPr="000A48D0">
        <w:rPr>
          <w:rFonts w:ascii="Arial" w:hAnsi="Arial" w:cs="Arial"/>
          <w:color w:val="000000"/>
          <w:sz w:val="20"/>
          <w:szCs w:val="20"/>
        </w:rPr>
        <w:t xml:space="preserve">. The modelling acknowledges the limitations of pipeline and consent for this technology to </w:t>
      </w:r>
      <w:proofErr w:type="gramStart"/>
      <w:r w:rsidRPr="000A48D0">
        <w:rPr>
          <w:rFonts w:ascii="Arial" w:hAnsi="Arial" w:cs="Arial"/>
          <w:color w:val="000000"/>
          <w:sz w:val="20"/>
          <w:szCs w:val="20"/>
        </w:rPr>
        <w:t>be located in</w:t>
      </w:r>
      <w:proofErr w:type="gramEnd"/>
      <w:r w:rsidRPr="000A48D0">
        <w:rPr>
          <w:rFonts w:ascii="Arial" w:hAnsi="Arial" w:cs="Arial"/>
          <w:color w:val="000000"/>
          <w:sz w:val="20"/>
          <w:szCs w:val="20"/>
        </w:rPr>
        <w:t xml:space="preserve"> southern areas, and that most of the resource is in the north. Setting aside the considerable planning barriers, more southerly onshore wind is acknowledged to have lower factors on average; to maintain the energy output for net zero pathways more nameplate capacity would be required, with corresponding increase in land use and support costs (typically paid per MW). We note in Ofgem’s podcast on the Minded-To position the view that reduced onshore wind may see an increase in English solar generation. Noting the roughly four times lower load factor of solar, this means significantly more nameplate capacity will be needed – which brings questions for total embodied carbon, of increased support costs (being typically paid per MW not MWh) and increased land requirements. We suggest it would be appropriate to quantify these outcomes to seriously test whether the changes can provide an overall net benefit.  </w:t>
      </w:r>
    </w:p>
    <w:p w14:paraId="0F973CEE"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38094151"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Another significant element is the risk of early closure of operational renewables in Scotland </w:t>
      </w:r>
      <w:proofErr w:type="gramStart"/>
      <w:r w:rsidRPr="000A48D0">
        <w:rPr>
          <w:rFonts w:ascii="Arial" w:hAnsi="Arial" w:cs="Arial"/>
          <w:color w:val="000000"/>
          <w:sz w:val="20"/>
          <w:szCs w:val="20"/>
        </w:rPr>
        <w:t>as a result of</w:t>
      </w:r>
      <w:proofErr w:type="gramEnd"/>
      <w:r w:rsidRPr="000A48D0">
        <w:rPr>
          <w:rFonts w:ascii="Arial" w:hAnsi="Arial" w:cs="Arial"/>
          <w:color w:val="000000"/>
          <w:sz w:val="20"/>
          <w:szCs w:val="20"/>
        </w:rPr>
        <w:t xml:space="preserve"> the changes. Projects exiting previous support schemes (such as the RO) or ending their </w:t>
      </w:r>
      <w:proofErr w:type="spellStart"/>
      <w:r w:rsidRPr="000A48D0">
        <w:rPr>
          <w:rFonts w:ascii="Arial" w:hAnsi="Arial" w:cs="Arial"/>
          <w:color w:val="000000"/>
          <w:sz w:val="20"/>
          <w:szCs w:val="20"/>
        </w:rPr>
        <w:t>CfD</w:t>
      </w:r>
      <w:proofErr w:type="spellEnd"/>
      <w:r w:rsidRPr="000A48D0">
        <w:rPr>
          <w:rFonts w:ascii="Arial" w:hAnsi="Arial" w:cs="Arial"/>
          <w:color w:val="000000"/>
          <w:sz w:val="20"/>
          <w:szCs w:val="20"/>
        </w:rPr>
        <w:t xml:space="preserve"> agreement when faced with such tariffs as shown in Table 5.3 of the quantitative analysis (copied above) will see a challenging, and in </w:t>
      </w:r>
      <w:proofErr w:type="gramStart"/>
      <w:r w:rsidRPr="000A48D0">
        <w:rPr>
          <w:rFonts w:ascii="Arial" w:hAnsi="Arial" w:cs="Arial"/>
          <w:color w:val="000000"/>
          <w:sz w:val="20"/>
          <w:szCs w:val="20"/>
        </w:rPr>
        <w:t>a number of</w:t>
      </w:r>
      <w:proofErr w:type="gramEnd"/>
      <w:r w:rsidRPr="000A48D0">
        <w:rPr>
          <w:rFonts w:ascii="Arial" w:hAnsi="Arial" w:cs="Arial"/>
          <w:color w:val="000000"/>
          <w:sz w:val="20"/>
          <w:szCs w:val="20"/>
        </w:rPr>
        <w:t xml:space="preserve"> instances negative, cost-benefit for future maintenance and repairs, resulting in early closures. Both the unused local grid infrastructure and the negative effect on total deployment are missing from the quantitative analysis, which assumes existing renewables remain on the system without additional cost. </w:t>
      </w:r>
    </w:p>
    <w:p w14:paraId="561B8582" w14:textId="77777777" w:rsidR="008F7CA6" w:rsidRPr="000A48D0" w:rsidRDefault="008F7CA6" w:rsidP="000A48D0">
      <w:pPr>
        <w:autoSpaceDE w:val="0"/>
        <w:autoSpaceDN w:val="0"/>
        <w:adjustRightInd w:val="0"/>
        <w:spacing w:after="0"/>
        <w:jc w:val="both"/>
        <w:rPr>
          <w:rFonts w:ascii="Arial" w:hAnsi="Arial" w:cs="Arial"/>
          <w:color w:val="000000"/>
          <w:sz w:val="20"/>
          <w:szCs w:val="20"/>
        </w:rPr>
      </w:pPr>
    </w:p>
    <w:p w14:paraId="2D85C8A7" w14:textId="7E96B4E4" w:rsidR="008F7CA6" w:rsidRPr="000A48D0" w:rsidRDefault="008F7CA6" w:rsidP="000A48D0">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We conclude that a corrected quantitative analysis would show a reduced, likely negative net benefit, and that carbon emissions are more likely to rise than fall under the proposed changes. We are in full agreement that wider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needs to be reconsidered in terms of alignment with the UK’s objectives for net zero and Ofgem’s overall strategic direction. We agree that it would be appropriate to pause application of wider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to SDG while such reform is considered, mitigating change fatigue and undue volatility. We believe updated quantitative analysis would need to be done </w:t>
      </w:r>
      <w:proofErr w:type="gramStart"/>
      <w:r w:rsidRPr="000A48D0">
        <w:rPr>
          <w:rFonts w:ascii="Arial" w:hAnsi="Arial" w:cs="Arial"/>
          <w:color w:val="000000"/>
          <w:sz w:val="20"/>
          <w:szCs w:val="20"/>
        </w:rPr>
        <w:t>in light of</w:t>
      </w:r>
      <w:proofErr w:type="gramEnd"/>
      <w:r w:rsidRPr="000A48D0">
        <w:rPr>
          <w:rFonts w:ascii="Arial" w:hAnsi="Arial" w:cs="Arial"/>
          <w:color w:val="000000"/>
          <w:sz w:val="20"/>
          <w:szCs w:val="20"/>
        </w:rPr>
        <w:t xml:space="preserve"> the proposed review and the points raised above before concluding on implementation of this charge for SDG. </w:t>
      </w:r>
    </w:p>
    <w:p w14:paraId="60720D53" w14:textId="77777777" w:rsidR="00B23642" w:rsidRPr="000A48D0" w:rsidRDefault="00B23642" w:rsidP="000A48D0">
      <w:pPr>
        <w:autoSpaceDE w:val="0"/>
        <w:autoSpaceDN w:val="0"/>
        <w:adjustRightInd w:val="0"/>
        <w:spacing w:after="0"/>
        <w:jc w:val="both"/>
        <w:rPr>
          <w:rFonts w:ascii="Arial" w:hAnsi="Arial" w:cs="Arial"/>
          <w:color w:val="000000"/>
          <w:sz w:val="20"/>
          <w:szCs w:val="20"/>
        </w:rPr>
      </w:pPr>
    </w:p>
    <w:p w14:paraId="6957A10B" w14:textId="1F3F3FF3" w:rsidR="000804F6" w:rsidRPr="000A48D0" w:rsidRDefault="000804F6" w:rsidP="000A48D0">
      <w:pPr>
        <w:autoSpaceDE w:val="0"/>
        <w:autoSpaceDN w:val="0"/>
        <w:adjustRightInd w:val="0"/>
        <w:spacing w:after="0"/>
        <w:jc w:val="both"/>
        <w:rPr>
          <w:rFonts w:ascii="Arial" w:hAnsi="Arial" w:cs="Arial"/>
          <w:b/>
          <w:bCs/>
          <w:color w:val="000000"/>
          <w:sz w:val="20"/>
          <w:szCs w:val="20"/>
        </w:rPr>
      </w:pPr>
      <w:r w:rsidRPr="000A48D0">
        <w:rPr>
          <w:rFonts w:ascii="Arial" w:hAnsi="Arial" w:cs="Arial"/>
          <w:b/>
          <w:bCs/>
          <w:color w:val="000000"/>
          <w:sz w:val="20"/>
          <w:szCs w:val="20"/>
        </w:rPr>
        <w:t xml:space="preserve">Question 5f: Have we identified all the options for administering </w:t>
      </w:r>
      <w:proofErr w:type="spellStart"/>
      <w:r w:rsidRPr="000A48D0">
        <w:rPr>
          <w:rFonts w:ascii="Arial" w:hAnsi="Arial" w:cs="Arial"/>
          <w:b/>
          <w:bCs/>
          <w:color w:val="000000"/>
          <w:sz w:val="20"/>
          <w:szCs w:val="20"/>
        </w:rPr>
        <w:t>TNUoS</w:t>
      </w:r>
      <w:proofErr w:type="spellEnd"/>
      <w:r w:rsidRPr="000A48D0">
        <w:rPr>
          <w:rFonts w:ascii="Arial" w:hAnsi="Arial" w:cs="Arial"/>
          <w:b/>
          <w:bCs/>
          <w:color w:val="000000"/>
          <w:sz w:val="20"/>
          <w:szCs w:val="20"/>
        </w:rPr>
        <w:t xml:space="preserve"> generation charges for SDG? If not, what options have we missed, and why would they be preferable to those we have identified? Can you provide any evidence regarding the implications of the different administrative options for your business? </w:t>
      </w:r>
    </w:p>
    <w:p w14:paraId="426DE390" w14:textId="0F28713E" w:rsidR="000804F6" w:rsidRDefault="000804F6" w:rsidP="000A48D0">
      <w:pPr>
        <w:autoSpaceDE w:val="0"/>
        <w:autoSpaceDN w:val="0"/>
        <w:adjustRightInd w:val="0"/>
        <w:spacing w:after="0"/>
        <w:jc w:val="both"/>
        <w:rPr>
          <w:rFonts w:ascii="Arial" w:hAnsi="Arial" w:cs="Arial"/>
          <w:b/>
          <w:bCs/>
          <w:color w:val="000000"/>
          <w:sz w:val="20"/>
          <w:szCs w:val="20"/>
        </w:rPr>
      </w:pPr>
    </w:p>
    <w:p w14:paraId="4A2A8B4C" w14:textId="77777777" w:rsidR="00473DF5" w:rsidRPr="00217ED4" w:rsidRDefault="00473DF5" w:rsidP="00473DF5">
      <w:pPr>
        <w:autoSpaceDE w:val="0"/>
        <w:autoSpaceDN w:val="0"/>
        <w:adjustRightInd w:val="0"/>
        <w:spacing w:after="0"/>
        <w:jc w:val="both"/>
        <w:rPr>
          <w:rFonts w:ascii="Arial" w:hAnsi="Arial" w:cs="Arial"/>
          <w:color w:val="000000"/>
          <w:sz w:val="20"/>
          <w:szCs w:val="20"/>
        </w:rPr>
      </w:pPr>
      <w:r w:rsidRPr="00217ED4">
        <w:rPr>
          <w:rFonts w:ascii="Arial" w:hAnsi="Arial" w:cs="Arial"/>
          <w:color w:val="000000"/>
          <w:sz w:val="20"/>
          <w:szCs w:val="20"/>
        </w:rPr>
        <w:t>No comments.</w:t>
      </w:r>
    </w:p>
    <w:p w14:paraId="1D8D20A8" w14:textId="77777777" w:rsidR="00473DF5" w:rsidRPr="000A48D0" w:rsidRDefault="00473DF5" w:rsidP="000A48D0">
      <w:pPr>
        <w:autoSpaceDE w:val="0"/>
        <w:autoSpaceDN w:val="0"/>
        <w:adjustRightInd w:val="0"/>
        <w:spacing w:after="0"/>
        <w:jc w:val="both"/>
        <w:rPr>
          <w:rFonts w:ascii="Arial" w:hAnsi="Arial" w:cs="Arial"/>
          <w:b/>
          <w:bCs/>
          <w:color w:val="000000"/>
          <w:sz w:val="20"/>
          <w:szCs w:val="20"/>
        </w:rPr>
      </w:pPr>
    </w:p>
    <w:p w14:paraId="57F3A0E3" w14:textId="4CA6F805" w:rsidR="000804F6" w:rsidRPr="000A48D0" w:rsidRDefault="000804F6" w:rsidP="000A48D0">
      <w:pPr>
        <w:pStyle w:val="NormalWeb"/>
        <w:spacing w:before="0" w:beforeAutospacing="0" w:after="0" w:afterAutospacing="0" w:line="276" w:lineRule="auto"/>
        <w:jc w:val="both"/>
        <w:rPr>
          <w:rFonts w:ascii="Arial" w:hAnsi="Arial" w:cs="Arial"/>
          <w:b/>
          <w:bCs/>
          <w:color w:val="000000"/>
          <w:sz w:val="20"/>
          <w:szCs w:val="20"/>
        </w:rPr>
      </w:pPr>
      <w:bookmarkStart w:id="3" w:name="_Hlk77925302"/>
      <w:r w:rsidRPr="000A48D0">
        <w:rPr>
          <w:rFonts w:ascii="Arial" w:hAnsi="Arial" w:cs="Arial"/>
          <w:b/>
          <w:bCs/>
          <w:color w:val="000000"/>
          <w:sz w:val="20"/>
          <w:szCs w:val="20"/>
        </w:rPr>
        <w:t xml:space="preserve">Question 5g: Are there any specific issues you think we need to consider, as part of our work on the future role of network charges? Why are these important to consider? </w:t>
      </w:r>
    </w:p>
    <w:p w14:paraId="3C85AB10" w14:textId="6F005715" w:rsidR="00714DF6" w:rsidRPr="000A48D0" w:rsidRDefault="00714DF6" w:rsidP="000A48D0">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26657D07" w14:textId="0FA90567" w:rsidR="00581ABE" w:rsidRPr="000A48D0" w:rsidRDefault="00B35908" w:rsidP="000A48D0">
      <w:pPr>
        <w:jc w:val="both"/>
        <w:rPr>
          <w:rFonts w:ascii="Arial" w:hAnsi="Arial" w:cs="Arial"/>
          <w:color w:val="000000"/>
          <w:sz w:val="20"/>
          <w:szCs w:val="20"/>
        </w:rPr>
      </w:pPr>
      <w:r w:rsidRPr="000A48D0">
        <w:rPr>
          <w:rFonts w:ascii="Arial" w:hAnsi="Arial" w:cs="Arial"/>
          <w:color w:val="000000"/>
          <w:sz w:val="20"/>
          <w:szCs w:val="20"/>
        </w:rPr>
        <w:t xml:space="preserve">It is our view that </w:t>
      </w:r>
      <w:r w:rsidR="00581ABE" w:rsidRPr="000A48D0">
        <w:rPr>
          <w:rFonts w:ascii="Arial" w:hAnsi="Arial" w:cs="Arial"/>
          <w:color w:val="000000"/>
          <w:sz w:val="20"/>
          <w:szCs w:val="20"/>
        </w:rPr>
        <w:t xml:space="preserve">many issues </w:t>
      </w:r>
      <w:r w:rsidRPr="000A48D0">
        <w:rPr>
          <w:rFonts w:ascii="Arial" w:hAnsi="Arial" w:cs="Arial"/>
          <w:color w:val="000000"/>
          <w:sz w:val="20"/>
          <w:szCs w:val="20"/>
        </w:rPr>
        <w:t xml:space="preserve">are </w:t>
      </w:r>
      <w:r w:rsidR="00581ABE" w:rsidRPr="000A48D0">
        <w:rPr>
          <w:rFonts w:ascii="Arial" w:hAnsi="Arial" w:cs="Arial"/>
          <w:color w:val="000000"/>
          <w:sz w:val="20"/>
          <w:szCs w:val="20"/>
        </w:rPr>
        <w:t xml:space="preserve">not included in the current charging proposal from this consultation that Ofgem should consider in the analysis of the future role of network charges. </w:t>
      </w:r>
      <w:r w:rsidRPr="000A48D0">
        <w:rPr>
          <w:rFonts w:ascii="Arial" w:hAnsi="Arial" w:cs="Arial"/>
          <w:color w:val="000000"/>
          <w:sz w:val="20"/>
          <w:szCs w:val="20"/>
        </w:rPr>
        <w:t>T</w:t>
      </w:r>
      <w:r w:rsidR="00581ABE" w:rsidRPr="000A48D0">
        <w:rPr>
          <w:rFonts w:ascii="Arial" w:hAnsi="Arial" w:cs="Arial"/>
          <w:color w:val="000000"/>
          <w:sz w:val="20"/>
          <w:szCs w:val="20"/>
        </w:rPr>
        <w:t xml:space="preserve">hese </w:t>
      </w:r>
      <w:r w:rsidRPr="000A48D0">
        <w:rPr>
          <w:rFonts w:ascii="Arial" w:hAnsi="Arial" w:cs="Arial"/>
          <w:color w:val="000000"/>
          <w:sz w:val="20"/>
          <w:szCs w:val="20"/>
        </w:rPr>
        <w:t>include</w:t>
      </w:r>
      <w:r w:rsidR="00581ABE" w:rsidRPr="000A48D0">
        <w:rPr>
          <w:rFonts w:ascii="Arial" w:hAnsi="Arial" w:cs="Arial"/>
          <w:color w:val="000000"/>
          <w:sz w:val="20"/>
          <w:szCs w:val="20"/>
        </w:rPr>
        <w:t>:</w:t>
      </w:r>
    </w:p>
    <w:p w14:paraId="6D321066" w14:textId="7B405AEF" w:rsidR="00082545" w:rsidRPr="000A48D0" w:rsidRDefault="00082545" w:rsidP="000A48D0">
      <w:pPr>
        <w:pStyle w:val="ListParagraph"/>
        <w:numPr>
          <w:ilvl w:val="0"/>
          <w:numId w:val="15"/>
        </w:numPr>
        <w:spacing w:line="276" w:lineRule="auto"/>
        <w:jc w:val="both"/>
        <w:rPr>
          <w:rFonts w:cs="Arial"/>
          <w:color w:val="000000"/>
          <w:sz w:val="20"/>
          <w:szCs w:val="20"/>
        </w:rPr>
      </w:pPr>
      <w:r w:rsidRPr="000A48D0">
        <w:rPr>
          <w:rFonts w:cs="Arial"/>
          <w:color w:val="000000"/>
          <w:sz w:val="20"/>
          <w:szCs w:val="20"/>
        </w:rPr>
        <w:lastRenderedPageBreak/>
        <w:t>False Strength of Locational Signal</w:t>
      </w:r>
    </w:p>
    <w:p w14:paraId="51C12B44" w14:textId="4C44AC7E" w:rsidR="00082545" w:rsidRPr="000A48D0" w:rsidRDefault="00082545" w:rsidP="000A48D0">
      <w:pPr>
        <w:jc w:val="both"/>
        <w:rPr>
          <w:rFonts w:ascii="Arial" w:hAnsi="Arial" w:cs="Arial"/>
          <w:color w:val="000000"/>
          <w:sz w:val="20"/>
          <w:szCs w:val="20"/>
        </w:rPr>
      </w:pPr>
      <w:r w:rsidRPr="000A48D0">
        <w:rPr>
          <w:rFonts w:ascii="Arial" w:hAnsi="Arial" w:cs="Arial"/>
          <w:color w:val="000000"/>
          <w:sz w:val="20"/>
          <w:szCs w:val="20"/>
        </w:rPr>
        <w:t>As supported by the evidence of real TO spend, published in the SSEN paper</w:t>
      </w:r>
      <w:r w:rsidRPr="000A48D0">
        <w:rPr>
          <w:rStyle w:val="FootnoteReference"/>
          <w:rFonts w:ascii="Arial" w:hAnsi="Arial" w:cs="Arial"/>
          <w:color w:val="000000"/>
          <w:sz w:val="20"/>
          <w:szCs w:val="20"/>
        </w:rPr>
        <w:footnoteReference w:id="3"/>
      </w:r>
      <w:r w:rsidRPr="000A48D0">
        <w:rPr>
          <w:rFonts w:ascii="Arial" w:hAnsi="Arial" w:cs="Arial"/>
          <w:color w:val="000000"/>
          <w:sz w:val="20"/>
          <w:szCs w:val="20"/>
        </w:rPr>
        <w:t xml:space="preserve"> of February 2021, Wider Circuit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overstates the strength of the charging signal. The methodology assumes an incremental cost of new 400kV pylon line in estimating additional grid capacity, when this in fact happens very rarely – the ESO and TOs have between them provided much capacity through non-build solutions, </w:t>
      </w:r>
      <w:proofErr w:type="gramStart"/>
      <w:r w:rsidRPr="000A48D0">
        <w:rPr>
          <w:rFonts w:ascii="Arial" w:hAnsi="Arial" w:cs="Arial"/>
          <w:color w:val="000000"/>
          <w:sz w:val="20"/>
          <w:szCs w:val="20"/>
        </w:rPr>
        <w:t>upgrades</w:t>
      </w:r>
      <w:proofErr w:type="gramEnd"/>
      <w:r w:rsidRPr="000A48D0">
        <w:rPr>
          <w:rFonts w:ascii="Arial" w:hAnsi="Arial" w:cs="Arial"/>
          <w:color w:val="000000"/>
          <w:sz w:val="20"/>
          <w:szCs w:val="20"/>
        </w:rPr>
        <w:t xml:space="preserve"> and reinforcements, or other “non-distance” improvements such as operational </w:t>
      </w:r>
      <w:proofErr w:type="spellStart"/>
      <w:r w:rsidRPr="000A48D0">
        <w:rPr>
          <w:rFonts w:ascii="Arial" w:hAnsi="Arial" w:cs="Arial"/>
          <w:color w:val="000000"/>
          <w:sz w:val="20"/>
          <w:szCs w:val="20"/>
        </w:rPr>
        <w:t>intertrips</w:t>
      </w:r>
      <w:proofErr w:type="spellEnd"/>
      <w:r w:rsidRPr="000A48D0">
        <w:rPr>
          <w:rFonts w:ascii="Arial" w:hAnsi="Arial" w:cs="Arial"/>
          <w:color w:val="000000"/>
          <w:sz w:val="20"/>
          <w:szCs w:val="20"/>
        </w:rPr>
        <w:t xml:space="preserve">, which are all excluded from the present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methodology. As a result, the charging signal is significantly over-estimated. By suggesting, as the Minded-To document does, that revenue gaps resulting from network charges will be met by </w:t>
      </w:r>
      <w:proofErr w:type="spellStart"/>
      <w:r w:rsidRPr="000A48D0">
        <w:rPr>
          <w:rFonts w:ascii="Arial" w:hAnsi="Arial" w:cs="Arial"/>
          <w:color w:val="000000"/>
          <w:sz w:val="20"/>
          <w:szCs w:val="20"/>
        </w:rPr>
        <w:t>CfD</w:t>
      </w:r>
      <w:proofErr w:type="spellEnd"/>
      <w:r w:rsidRPr="000A48D0">
        <w:rPr>
          <w:rFonts w:ascii="Arial" w:hAnsi="Arial" w:cs="Arial"/>
          <w:color w:val="000000"/>
          <w:sz w:val="20"/>
          <w:szCs w:val="20"/>
        </w:rPr>
        <w:t xml:space="preserve"> increases is to cement a significant economic distortion; the result is either unnecessarily lower-efficiency plant in the South unduly setting the auction clearance price, or an unnecessarily high auction clearance price to maintain deployment in the North, giving unduly higher revenues to plant in the South. In either case, the result will be inefficient.</w:t>
      </w:r>
    </w:p>
    <w:p w14:paraId="317570D7" w14:textId="232B5DFB" w:rsidR="00BE1E2A" w:rsidRPr="000A48D0" w:rsidRDefault="00706284" w:rsidP="000A48D0">
      <w:pPr>
        <w:pStyle w:val="ListParagraph"/>
        <w:numPr>
          <w:ilvl w:val="0"/>
          <w:numId w:val="15"/>
        </w:numPr>
        <w:spacing w:line="276" w:lineRule="auto"/>
        <w:jc w:val="both"/>
        <w:rPr>
          <w:rFonts w:cs="Arial"/>
          <w:color w:val="000000"/>
          <w:sz w:val="20"/>
          <w:szCs w:val="20"/>
        </w:rPr>
      </w:pPr>
      <w:r w:rsidRPr="000A48D0">
        <w:rPr>
          <w:rFonts w:cs="Arial"/>
          <w:color w:val="000000"/>
          <w:sz w:val="20"/>
          <w:szCs w:val="20"/>
        </w:rPr>
        <w:t>L</w:t>
      </w:r>
      <w:r w:rsidR="00714DF6" w:rsidRPr="000A48D0">
        <w:rPr>
          <w:rFonts w:cs="Arial"/>
          <w:color w:val="000000"/>
          <w:sz w:val="20"/>
          <w:szCs w:val="20"/>
        </w:rPr>
        <w:t>ocational allocation of capacity</w:t>
      </w:r>
      <w:r w:rsidR="00BE1E2A" w:rsidRPr="000A48D0">
        <w:rPr>
          <w:rFonts w:cs="Arial"/>
          <w:color w:val="000000"/>
          <w:sz w:val="20"/>
          <w:szCs w:val="20"/>
        </w:rPr>
        <w:t xml:space="preserve">. </w:t>
      </w:r>
    </w:p>
    <w:p w14:paraId="7E90D3DD" w14:textId="139DE00B" w:rsidR="00714DF6" w:rsidRPr="000A48D0" w:rsidRDefault="00BE1E2A" w:rsidP="000A48D0">
      <w:pPr>
        <w:jc w:val="both"/>
        <w:rPr>
          <w:rFonts w:ascii="Arial" w:hAnsi="Arial" w:cs="Arial"/>
          <w:color w:val="000000"/>
          <w:sz w:val="20"/>
          <w:szCs w:val="20"/>
        </w:rPr>
      </w:pPr>
      <w:r w:rsidRPr="000A48D0">
        <w:rPr>
          <w:rFonts w:ascii="Arial" w:hAnsi="Arial" w:cs="Arial"/>
          <w:color w:val="000000"/>
          <w:sz w:val="20"/>
          <w:szCs w:val="20"/>
        </w:rPr>
        <w:t xml:space="preserve">As we mentioned previously, </w:t>
      </w:r>
      <w:r w:rsidR="008E5CAF" w:rsidRPr="000A48D0">
        <w:rPr>
          <w:rFonts w:ascii="Arial" w:hAnsi="Arial" w:cs="Arial"/>
          <w:color w:val="000000"/>
          <w:sz w:val="20"/>
          <w:szCs w:val="20"/>
        </w:rPr>
        <w:t>there</w:t>
      </w:r>
      <w:r w:rsidRPr="000A48D0">
        <w:rPr>
          <w:rFonts w:ascii="Arial" w:hAnsi="Arial" w:cs="Arial"/>
          <w:color w:val="000000"/>
          <w:sz w:val="20"/>
          <w:szCs w:val="20"/>
        </w:rPr>
        <w:t xml:space="preserve"> are key determinants of the location of renewable capacity that are not captured in this model</w:t>
      </w:r>
      <w:r w:rsidR="0078537D" w:rsidRPr="000A48D0">
        <w:rPr>
          <w:rFonts w:ascii="Arial" w:hAnsi="Arial" w:cs="Arial"/>
          <w:color w:val="000000"/>
          <w:sz w:val="20"/>
          <w:szCs w:val="20"/>
        </w:rPr>
        <w:t xml:space="preserve">, mainly related to locational decision of investors that include load factors, </w:t>
      </w:r>
      <w:r w:rsidR="00B35908" w:rsidRPr="000A48D0">
        <w:rPr>
          <w:rFonts w:ascii="Arial" w:hAnsi="Arial" w:cs="Arial"/>
          <w:color w:val="000000"/>
          <w:sz w:val="20"/>
          <w:szCs w:val="20"/>
        </w:rPr>
        <w:t xml:space="preserve">grid </w:t>
      </w:r>
      <w:r w:rsidR="0078537D" w:rsidRPr="000A48D0">
        <w:rPr>
          <w:rFonts w:ascii="Arial" w:hAnsi="Arial" w:cs="Arial"/>
          <w:color w:val="000000"/>
          <w:sz w:val="20"/>
          <w:szCs w:val="20"/>
        </w:rPr>
        <w:t xml:space="preserve">constraints and transmission capacity investments. </w:t>
      </w:r>
      <w:r w:rsidRPr="000A48D0">
        <w:rPr>
          <w:rFonts w:ascii="Arial" w:hAnsi="Arial" w:cs="Arial"/>
          <w:color w:val="000000"/>
          <w:sz w:val="20"/>
          <w:szCs w:val="20"/>
        </w:rPr>
        <w:t>We recommend that the impact assessment considers the overall impact of benefits including locational factors</w:t>
      </w:r>
      <w:r w:rsidR="0078537D" w:rsidRPr="000A48D0">
        <w:rPr>
          <w:rFonts w:ascii="Arial" w:hAnsi="Arial" w:cs="Arial"/>
          <w:color w:val="000000"/>
          <w:sz w:val="20"/>
          <w:szCs w:val="20"/>
        </w:rPr>
        <w:t xml:space="preserve"> such as </w:t>
      </w:r>
      <w:r w:rsidRPr="000A48D0">
        <w:rPr>
          <w:rFonts w:ascii="Arial" w:hAnsi="Arial" w:cs="Arial"/>
          <w:color w:val="000000"/>
          <w:sz w:val="20"/>
          <w:szCs w:val="20"/>
        </w:rPr>
        <w:t>load factors, price volatility</w:t>
      </w:r>
      <w:r w:rsidR="00314025" w:rsidRPr="000A48D0">
        <w:rPr>
          <w:rFonts w:ascii="Arial" w:hAnsi="Arial" w:cs="Arial"/>
          <w:color w:val="000000"/>
          <w:sz w:val="20"/>
          <w:szCs w:val="20"/>
        </w:rPr>
        <w:t xml:space="preserve"> and wind capture prices.</w:t>
      </w:r>
      <w:r w:rsidR="0078537D" w:rsidRPr="000A48D0">
        <w:rPr>
          <w:rFonts w:ascii="Arial" w:hAnsi="Arial" w:cs="Arial"/>
          <w:color w:val="000000"/>
          <w:sz w:val="20"/>
          <w:szCs w:val="20"/>
        </w:rPr>
        <w:t xml:space="preserve"> </w:t>
      </w:r>
      <w:r w:rsidR="00AD01C3" w:rsidRPr="000A48D0">
        <w:rPr>
          <w:rFonts w:ascii="Arial" w:hAnsi="Arial" w:cs="Arial"/>
          <w:color w:val="000000"/>
          <w:sz w:val="20"/>
          <w:szCs w:val="20"/>
        </w:rPr>
        <w:t xml:space="preserve">These are factors that we think are important to consider as </w:t>
      </w:r>
      <w:r w:rsidR="0078537D" w:rsidRPr="000A48D0">
        <w:rPr>
          <w:rFonts w:ascii="Arial" w:hAnsi="Arial" w:cs="Arial"/>
          <w:color w:val="000000"/>
          <w:sz w:val="20"/>
          <w:szCs w:val="20"/>
        </w:rPr>
        <w:t xml:space="preserve">the quantitative potential benefit could be highly affected </w:t>
      </w:r>
      <w:r w:rsidR="003C6D01" w:rsidRPr="000A48D0">
        <w:rPr>
          <w:rFonts w:ascii="Arial" w:hAnsi="Arial" w:cs="Arial"/>
          <w:color w:val="000000"/>
          <w:sz w:val="20"/>
          <w:szCs w:val="20"/>
        </w:rPr>
        <w:t>by th</w:t>
      </w:r>
      <w:r w:rsidR="008A4661" w:rsidRPr="000A48D0">
        <w:rPr>
          <w:rFonts w:ascii="Arial" w:hAnsi="Arial" w:cs="Arial"/>
          <w:color w:val="000000"/>
          <w:sz w:val="20"/>
          <w:szCs w:val="20"/>
        </w:rPr>
        <w:t>em</w:t>
      </w:r>
      <w:r w:rsidR="003C6D01" w:rsidRPr="000A48D0">
        <w:rPr>
          <w:rFonts w:ascii="Arial" w:hAnsi="Arial" w:cs="Arial"/>
          <w:color w:val="000000"/>
          <w:sz w:val="20"/>
          <w:szCs w:val="20"/>
        </w:rPr>
        <w:t>.</w:t>
      </w:r>
    </w:p>
    <w:p w14:paraId="1FF44C0D" w14:textId="6F5BFCEA" w:rsidR="00701EA6" w:rsidRPr="000A48D0" w:rsidRDefault="00706284" w:rsidP="000A48D0">
      <w:pPr>
        <w:pStyle w:val="ListParagraph"/>
        <w:numPr>
          <w:ilvl w:val="0"/>
          <w:numId w:val="15"/>
        </w:numPr>
        <w:spacing w:line="276" w:lineRule="auto"/>
        <w:jc w:val="both"/>
        <w:rPr>
          <w:rFonts w:cs="Arial"/>
          <w:color w:val="000000"/>
          <w:sz w:val="20"/>
          <w:szCs w:val="20"/>
        </w:rPr>
      </w:pPr>
      <w:r w:rsidRPr="000A48D0">
        <w:rPr>
          <w:rFonts w:cs="Arial"/>
          <w:color w:val="000000"/>
          <w:sz w:val="20"/>
          <w:szCs w:val="20"/>
        </w:rPr>
        <w:t>T</w:t>
      </w:r>
      <w:r w:rsidR="00DD5A70" w:rsidRPr="000A48D0">
        <w:rPr>
          <w:rFonts w:cs="Arial"/>
          <w:color w:val="000000"/>
          <w:sz w:val="20"/>
          <w:szCs w:val="20"/>
        </w:rPr>
        <w:t>he benefits of a diverse mix of generation</w:t>
      </w:r>
    </w:p>
    <w:p w14:paraId="4330A39A" w14:textId="0AFBD394" w:rsidR="00C6537D" w:rsidRPr="000A48D0" w:rsidRDefault="00FA6FD4" w:rsidP="000A48D0">
      <w:pPr>
        <w:jc w:val="both"/>
        <w:rPr>
          <w:rFonts w:ascii="Arial" w:hAnsi="Arial" w:cs="Arial"/>
          <w:color w:val="000000"/>
          <w:sz w:val="20"/>
          <w:szCs w:val="20"/>
        </w:rPr>
      </w:pPr>
      <w:r w:rsidRPr="000A48D0">
        <w:rPr>
          <w:rFonts w:ascii="Arial" w:hAnsi="Arial" w:cs="Arial"/>
          <w:color w:val="000000"/>
          <w:sz w:val="20"/>
          <w:szCs w:val="20"/>
        </w:rPr>
        <w:t xml:space="preserve">The current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regime at transmission level</w:t>
      </w:r>
      <w:r w:rsidR="00706284" w:rsidRPr="000A48D0">
        <w:rPr>
          <w:rFonts w:ascii="Arial" w:hAnsi="Arial" w:cs="Arial"/>
          <w:color w:val="000000"/>
          <w:sz w:val="20"/>
          <w:szCs w:val="20"/>
        </w:rPr>
        <w:t xml:space="preserve"> </w:t>
      </w:r>
      <w:r w:rsidRPr="000A48D0">
        <w:rPr>
          <w:rFonts w:ascii="Arial" w:hAnsi="Arial" w:cs="Arial"/>
          <w:color w:val="000000"/>
          <w:sz w:val="20"/>
          <w:szCs w:val="20"/>
        </w:rPr>
        <w:t xml:space="preserve">already </w:t>
      </w:r>
      <w:r w:rsidR="00706284" w:rsidRPr="000A48D0">
        <w:rPr>
          <w:rFonts w:ascii="Arial" w:hAnsi="Arial" w:cs="Arial"/>
          <w:color w:val="000000"/>
          <w:sz w:val="20"/>
          <w:szCs w:val="20"/>
        </w:rPr>
        <w:t>incentivises</w:t>
      </w:r>
      <w:r w:rsidR="00314025" w:rsidRPr="000A48D0">
        <w:rPr>
          <w:rFonts w:ascii="Arial" w:hAnsi="Arial" w:cs="Arial"/>
          <w:color w:val="000000"/>
          <w:sz w:val="20"/>
          <w:szCs w:val="20"/>
        </w:rPr>
        <w:t xml:space="preserve"> </w:t>
      </w:r>
      <w:r w:rsidR="00961F53" w:rsidRPr="000A48D0">
        <w:rPr>
          <w:rFonts w:ascii="Arial" w:hAnsi="Arial" w:cs="Arial"/>
          <w:color w:val="000000"/>
          <w:sz w:val="20"/>
          <w:szCs w:val="20"/>
        </w:rPr>
        <w:t>locating</w:t>
      </w:r>
      <w:r w:rsidR="00314025" w:rsidRPr="000A48D0">
        <w:rPr>
          <w:rFonts w:ascii="Arial" w:hAnsi="Arial" w:cs="Arial"/>
          <w:color w:val="000000"/>
          <w:sz w:val="20"/>
          <w:szCs w:val="20"/>
        </w:rPr>
        <w:t xml:space="preserve"> renewable generation in the </w:t>
      </w:r>
      <w:r w:rsidR="00082545" w:rsidRPr="000A48D0">
        <w:rPr>
          <w:rFonts w:ascii="Arial" w:hAnsi="Arial" w:cs="Arial"/>
          <w:color w:val="000000"/>
          <w:sz w:val="20"/>
          <w:szCs w:val="20"/>
        </w:rPr>
        <w:t xml:space="preserve">centre and </w:t>
      </w:r>
      <w:r w:rsidR="00314025" w:rsidRPr="000A48D0">
        <w:rPr>
          <w:rFonts w:ascii="Arial" w:hAnsi="Arial" w:cs="Arial"/>
          <w:color w:val="000000"/>
          <w:sz w:val="20"/>
          <w:szCs w:val="20"/>
        </w:rPr>
        <w:t>south</w:t>
      </w:r>
      <w:r w:rsidR="00E569EC" w:rsidRPr="000A48D0">
        <w:rPr>
          <w:rFonts w:ascii="Arial" w:hAnsi="Arial" w:cs="Arial"/>
          <w:color w:val="000000"/>
          <w:sz w:val="20"/>
          <w:szCs w:val="20"/>
        </w:rPr>
        <w:t xml:space="preserve"> </w:t>
      </w:r>
      <w:r w:rsidR="00706284" w:rsidRPr="000A48D0">
        <w:rPr>
          <w:rFonts w:ascii="Arial" w:hAnsi="Arial" w:cs="Arial"/>
          <w:color w:val="000000"/>
          <w:sz w:val="20"/>
          <w:szCs w:val="20"/>
        </w:rPr>
        <w:t xml:space="preserve">of </w:t>
      </w:r>
      <w:r w:rsidR="00082545" w:rsidRPr="000A48D0">
        <w:rPr>
          <w:rFonts w:ascii="Arial" w:hAnsi="Arial" w:cs="Arial"/>
          <w:color w:val="000000"/>
          <w:sz w:val="20"/>
          <w:szCs w:val="20"/>
        </w:rPr>
        <w:t>GB</w:t>
      </w:r>
      <w:r w:rsidRPr="000A48D0">
        <w:rPr>
          <w:rFonts w:ascii="Arial" w:hAnsi="Arial" w:cs="Arial"/>
          <w:color w:val="000000"/>
          <w:sz w:val="20"/>
          <w:szCs w:val="20"/>
        </w:rPr>
        <w:t xml:space="preserve">. Hence, if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charges are now applied to SDG this will only exacerbate this distortion, with </w:t>
      </w:r>
      <w:r w:rsidR="00E569EC" w:rsidRPr="000A48D0">
        <w:rPr>
          <w:rFonts w:ascii="Arial" w:hAnsi="Arial" w:cs="Arial"/>
          <w:color w:val="000000"/>
          <w:sz w:val="20"/>
          <w:szCs w:val="20"/>
        </w:rPr>
        <w:t>much higher benefits for the development of solar</w:t>
      </w:r>
      <w:r w:rsidR="00706284" w:rsidRPr="000A48D0">
        <w:rPr>
          <w:rFonts w:ascii="Arial" w:hAnsi="Arial" w:cs="Arial"/>
          <w:color w:val="000000"/>
          <w:sz w:val="20"/>
          <w:szCs w:val="20"/>
        </w:rPr>
        <w:t xml:space="preserve"> energy</w:t>
      </w:r>
      <w:r w:rsidRPr="000A48D0">
        <w:rPr>
          <w:rFonts w:ascii="Arial" w:hAnsi="Arial" w:cs="Arial"/>
          <w:color w:val="000000"/>
          <w:sz w:val="20"/>
          <w:szCs w:val="20"/>
        </w:rPr>
        <w:t xml:space="preserve"> in the south</w:t>
      </w:r>
      <w:r w:rsidR="00706284" w:rsidRPr="000A48D0">
        <w:rPr>
          <w:rFonts w:ascii="Arial" w:hAnsi="Arial" w:cs="Arial"/>
          <w:color w:val="000000"/>
          <w:sz w:val="20"/>
          <w:szCs w:val="20"/>
        </w:rPr>
        <w:t xml:space="preserve">. </w:t>
      </w:r>
      <w:r w:rsidR="00706284" w:rsidRPr="000A48D0">
        <w:rPr>
          <w:rFonts w:ascii="Arial" w:eastAsia="Times New Roman" w:hAnsi="Arial" w:cs="Arial"/>
          <w:sz w:val="20"/>
          <w:szCs w:val="20"/>
          <w:lang w:eastAsia="en-GB"/>
        </w:rPr>
        <w:t>This charging system is incompatible with the decentralised energy system of the future that the UK Government envisioned in the 2020 Energy White Paper</w:t>
      </w:r>
      <w:r w:rsidR="00706284" w:rsidRPr="000A48D0">
        <w:rPr>
          <w:rStyle w:val="FootnoteReference"/>
          <w:rFonts w:ascii="Arial" w:eastAsia="Times New Roman" w:hAnsi="Arial" w:cs="Arial"/>
          <w:sz w:val="20"/>
          <w:szCs w:val="20"/>
          <w:lang w:eastAsia="en-GB"/>
        </w:rPr>
        <w:footnoteReference w:id="4"/>
      </w:r>
      <w:r w:rsidR="00AD01C3" w:rsidRPr="000A48D0">
        <w:rPr>
          <w:rFonts w:ascii="Arial" w:eastAsia="Times New Roman" w:hAnsi="Arial" w:cs="Arial"/>
          <w:sz w:val="20"/>
          <w:szCs w:val="20"/>
          <w:lang w:eastAsia="en-GB"/>
        </w:rPr>
        <w:t xml:space="preserve">. </w:t>
      </w:r>
      <w:r w:rsidR="00C6537D" w:rsidRPr="000A48D0">
        <w:rPr>
          <w:rFonts w:ascii="Arial" w:hAnsi="Arial" w:cs="Arial"/>
          <w:color w:val="000000"/>
          <w:sz w:val="20"/>
          <w:szCs w:val="20"/>
        </w:rPr>
        <w:t xml:space="preserve">Regulation does not exist separate to policy. If the Government’s preference is to increase and decentralise the deployment of cost-effective renewables and flexibility as a key element of achieving the net-zero target, regulatory processes and </w:t>
      </w:r>
      <w:r w:rsidR="00F45879" w:rsidRPr="000A48D0">
        <w:rPr>
          <w:rFonts w:ascii="Arial" w:hAnsi="Arial" w:cs="Arial"/>
          <w:color w:val="000000"/>
          <w:sz w:val="20"/>
          <w:szCs w:val="20"/>
        </w:rPr>
        <w:t xml:space="preserve">the </w:t>
      </w:r>
      <w:r w:rsidR="00C6537D" w:rsidRPr="000A48D0">
        <w:rPr>
          <w:rFonts w:ascii="Arial" w:hAnsi="Arial" w:cs="Arial"/>
          <w:color w:val="000000"/>
          <w:sz w:val="20"/>
          <w:szCs w:val="20"/>
        </w:rPr>
        <w:t>charging regime must not constrain this.</w:t>
      </w:r>
    </w:p>
    <w:p w14:paraId="3B2CC48B" w14:textId="2671E97F" w:rsidR="006B2921" w:rsidRPr="000A48D0" w:rsidRDefault="006B2921" w:rsidP="000A48D0">
      <w:pPr>
        <w:jc w:val="both"/>
        <w:rPr>
          <w:rFonts w:ascii="Arial" w:hAnsi="Arial" w:cs="Arial"/>
          <w:color w:val="000000"/>
          <w:sz w:val="20"/>
          <w:szCs w:val="20"/>
        </w:rPr>
      </w:pPr>
      <w:r w:rsidRPr="000A48D0">
        <w:rPr>
          <w:rFonts w:ascii="Arial" w:hAnsi="Arial" w:cs="Arial"/>
          <w:color w:val="000000"/>
          <w:sz w:val="20"/>
          <w:szCs w:val="20"/>
        </w:rPr>
        <w:t xml:space="preserve">The UK </w:t>
      </w:r>
      <w:r w:rsidR="00961F53" w:rsidRPr="000A48D0">
        <w:rPr>
          <w:rFonts w:ascii="Arial" w:hAnsi="Arial" w:cs="Arial"/>
          <w:color w:val="000000"/>
          <w:sz w:val="20"/>
          <w:szCs w:val="20"/>
        </w:rPr>
        <w:t>h</w:t>
      </w:r>
      <w:r w:rsidRPr="000A48D0">
        <w:rPr>
          <w:rFonts w:ascii="Arial" w:hAnsi="Arial" w:cs="Arial"/>
          <w:color w:val="000000"/>
          <w:sz w:val="20"/>
          <w:szCs w:val="20"/>
        </w:rPr>
        <w:t>as diverse renewable resources that can be deployed across the whole country, with one of the b</w:t>
      </w:r>
      <w:r w:rsidR="00C1578E" w:rsidRPr="000A48D0">
        <w:rPr>
          <w:rFonts w:ascii="Arial" w:hAnsi="Arial" w:cs="Arial"/>
          <w:color w:val="000000"/>
          <w:sz w:val="20"/>
          <w:szCs w:val="20"/>
        </w:rPr>
        <w:t>est</w:t>
      </w:r>
      <w:r w:rsidRPr="000A48D0">
        <w:rPr>
          <w:rFonts w:ascii="Arial" w:hAnsi="Arial" w:cs="Arial"/>
          <w:color w:val="000000"/>
          <w:sz w:val="20"/>
          <w:szCs w:val="20"/>
        </w:rPr>
        <w:t xml:space="preserve"> </w:t>
      </w:r>
      <w:r w:rsidR="004F22E2" w:rsidRPr="000A48D0">
        <w:rPr>
          <w:rFonts w:ascii="Arial" w:hAnsi="Arial" w:cs="Arial"/>
          <w:color w:val="000000"/>
          <w:sz w:val="20"/>
          <w:szCs w:val="20"/>
        </w:rPr>
        <w:t>potentials</w:t>
      </w:r>
      <w:r w:rsidRPr="000A48D0">
        <w:rPr>
          <w:rFonts w:ascii="Arial" w:hAnsi="Arial" w:cs="Arial"/>
          <w:color w:val="000000"/>
          <w:sz w:val="20"/>
          <w:szCs w:val="20"/>
        </w:rPr>
        <w:t xml:space="preserve"> for onshore and offshore wind. Energy diversification is important </w:t>
      </w:r>
      <w:r w:rsidR="004F22E2" w:rsidRPr="000A48D0">
        <w:rPr>
          <w:rFonts w:ascii="Arial" w:hAnsi="Arial" w:cs="Arial"/>
          <w:color w:val="000000"/>
          <w:sz w:val="20"/>
          <w:szCs w:val="20"/>
        </w:rPr>
        <w:t xml:space="preserve">to provide energy security and </w:t>
      </w:r>
      <w:r w:rsidR="001958E6" w:rsidRPr="000A48D0">
        <w:rPr>
          <w:rFonts w:ascii="Arial" w:hAnsi="Arial" w:cs="Arial"/>
          <w:color w:val="000000"/>
          <w:sz w:val="20"/>
          <w:szCs w:val="20"/>
        </w:rPr>
        <w:t>long-term</w:t>
      </w:r>
      <w:r w:rsidR="004F22E2" w:rsidRPr="000A48D0">
        <w:rPr>
          <w:rFonts w:ascii="Arial" w:hAnsi="Arial" w:cs="Arial"/>
          <w:color w:val="000000"/>
          <w:sz w:val="20"/>
          <w:szCs w:val="20"/>
        </w:rPr>
        <w:t xml:space="preserve"> sustainability transitions. The UK has a strong economy and so require</w:t>
      </w:r>
      <w:r w:rsidR="007803F9" w:rsidRPr="000A48D0">
        <w:rPr>
          <w:rFonts w:ascii="Arial" w:hAnsi="Arial" w:cs="Arial"/>
          <w:color w:val="000000"/>
          <w:sz w:val="20"/>
          <w:szCs w:val="20"/>
        </w:rPr>
        <w:t>s</w:t>
      </w:r>
      <w:r w:rsidR="004F22E2" w:rsidRPr="000A48D0">
        <w:rPr>
          <w:rFonts w:ascii="Arial" w:hAnsi="Arial" w:cs="Arial"/>
          <w:color w:val="000000"/>
          <w:sz w:val="20"/>
          <w:szCs w:val="20"/>
        </w:rPr>
        <w:t xml:space="preserve"> a variety of energy sources for industrial production, electric</w:t>
      </w:r>
      <w:r w:rsidR="00C1578E" w:rsidRPr="000A48D0">
        <w:rPr>
          <w:rFonts w:ascii="Arial" w:hAnsi="Arial" w:cs="Arial"/>
          <w:color w:val="000000"/>
          <w:sz w:val="20"/>
          <w:szCs w:val="20"/>
        </w:rPr>
        <w:t>ity</w:t>
      </w:r>
      <w:r w:rsidR="004F22E2" w:rsidRPr="000A48D0">
        <w:rPr>
          <w:rFonts w:ascii="Arial" w:hAnsi="Arial" w:cs="Arial"/>
          <w:color w:val="000000"/>
          <w:sz w:val="20"/>
          <w:szCs w:val="20"/>
        </w:rPr>
        <w:t xml:space="preserve"> production, transport, and domestic use. The proposal from Ofgem is not </w:t>
      </w:r>
      <w:proofErr w:type="gramStart"/>
      <w:r w:rsidR="004F22E2" w:rsidRPr="000A48D0">
        <w:rPr>
          <w:rFonts w:ascii="Arial" w:hAnsi="Arial" w:cs="Arial"/>
          <w:color w:val="000000"/>
          <w:sz w:val="20"/>
          <w:szCs w:val="20"/>
        </w:rPr>
        <w:t>taking into account</w:t>
      </w:r>
      <w:proofErr w:type="gramEnd"/>
      <w:r w:rsidR="004F22E2" w:rsidRPr="000A48D0">
        <w:rPr>
          <w:rFonts w:ascii="Arial" w:hAnsi="Arial" w:cs="Arial"/>
          <w:color w:val="000000"/>
          <w:sz w:val="20"/>
          <w:szCs w:val="20"/>
        </w:rPr>
        <w:t xml:space="preserve"> the benefits of a diverse energy mix and the implications that not considering this could have </w:t>
      </w:r>
      <w:r w:rsidR="000763FA" w:rsidRPr="000A48D0">
        <w:rPr>
          <w:rFonts w:ascii="Arial" w:hAnsi="Arial" w:cs="Arial"/>
          <w:color w:val="000000"/>
          <w:sz w:val="20"/>
          <w:szCs w:val="20"/>
        </w:rPr>
        <w:t xml:space="preserve">on security of supply. </w:t>
      </w:r>
    </w:p>
    <w:p w14:paraId="722B7409" w14:textId="6775A158" w:rsidR="00DD5A70" w:rsidRPr="000A48D0" w:rsidRDefault="00AD01C3" w:rsidP="000A48D0">
      <w:pPr>
        <w:pStyle w:val="ListParagraph"/>
        <w:numPr>
          <w:ilvl w:val="0"/>
          <w:numId w:val="15"/>
        </w:numPr>
        <w:spacing w:line="276" w:lineRule="auto"/>
        <w:jc w:val="both"/>
        <w:rPr>
          <w:rFonts w:cs="Arial"/>
          <w:color w:val="000000"/>
          <w:sz w:val="20"/>
          <w:szCs w:val="20"/>
        </w:rPr>
      </w:pPr>
      <w:r w:rsidRPr="000A48D0">
        <w:rPr>
          <w:rFonts w:cs="Arial"/>
          <w:color w:val="000000"/>
          <w:sz w:val="20"/>
          <w:szCs w:val="20"/>
        </w:rPr>
        <w:t>Planning regime across the country</w:t>
      </w:r>
    </w:p>
    <w:p w14:paraId="1D5DFDB2" w14:textId="4746EA3B" w:rsidR="00A56159" w:rsidRPr="000A48D0" w:rsidRDefault="00AD01C3" w:rsidP="000A48D0">
      <w:pPr>
        <w:jc w:val="both"/>
        <w:rPr>
          <w:rFonts w:ascii="Arial" w:hAnsi="Arial" w:cs="Arial"/>
          <w:color w:val="000000"/>
          <w:sz w:val="20"/>
          <w:szCs w:val="20"/>
        </w:rPr>
      </w:pPr>
      <w:r w:rsidRPr="000A48D0">
        <w:rPr>
          <w:rFonts w:ascii="Arial" w:hAnsi="Arial" w:cs="Arial"/>
          <w:color w:val="000000"/>
          <w:sz w:val="20"/>
          <w:szCs w:val="20"/>
        </w:rPr>
        <w:t>Today, the planning and consenting system for onshore wind developers is more favourable in Scotland than in England and Wales. While the Scottish Government’s Onshore Wind Policy Statement</w:t>
      </w:r>
      <w:r w:rsidRPr="000A48D0">
        <w:rPr>
          <w:rStyle w:val="FootnoteReference"/>
          <w:rFonts w:ascii="Arial" w:hAnsi="Arial" w:cs="Arial"/>
          <w:color w:val="000000"/>
          <w:sz w:val="20"/>
          <w:szCs w:val="20"/>
        </w:rPr>
        <w:footnoteReference w:id="5"/>
      </w:r>
      <w:r w:rsidR="00233308" w:rsidRPr="000A48D0">
        <w:rPr>
          <w:rFonts w:ascii="Arial" w:hAnsi="Arial" w:cs="Arial"/>
          <w:color w:val="000000"/>
          <w:sz w:val="20"/>
          <w:szCs w:val="20"/>
        </w:rPr>
        <w:t xml:space="preserve"> reaffirm</w:t>
      </w:r>
      <w:r w:rsidR="00F45879" w:rsidRPr="000A48D0">
        <w:rPr>
          <w:rFonts w:ascii="Arial" w:hAnsi="Arial" w:cs="Arial"/>
          <w:color w:val="000000"/>
          <w:sz w:val="20"/>
          <w:szCs w:val="20"/>
        </w:rPr>
        <w:t>s</w:t>
      </w:r>
      <w:r w:rsidR="00233308" w:rsidRPr="000A48D0">
        <w:rPr>
          <w:rFonts w:ascii="Arial" w:hAnsi="Arial" w:cs="Arial"/>
          <w:color w:val="000000"/>
          <w:sz w:val="20"/>
          <w:szCs w:val="20"/>
        </w:rPr>
        <w:t xml:space="preserve"> commitment to enable the development of onshore wind in the country, the current planning regime in England has </w:t>
      </w:r>
      <w:r w:rsidR="00F45879" w:rsidRPr="000A48D0">
        <w:rPr>
          <w:rFonts w:ascii="Arial" w:hAnsi="Arial" w:cs="Arial"/>
          <w:color w:val="000000"/>
          <w:sz w:val="20"/>
          <w:szCs w:val="20"/>
        </w:rPr>
        <w:t>been shown to be</w:t>
      </w:r>
      <w:r w:rsidR="00233308" w:rsidRPr="000A48D0">
        <w:rPr>
          <w:rFonts w:ascii="Arial" w:hAnsi="Arial" w:cs="Arial"/>
          <w:color w:val="000000"/>
          <w:sz w:val="20"/>
          <w:szCs w:val="20"/>
        </w:rPr>
        <w:t xml:space="preserve"> more challenging </w:t>
      </w:r>
      <w:r w:rsidR="00B35908" w:rsidRPr="000A48D0">
        <w:rPr>
          <w:rFonts w:ascii="Arial" w:hAnsi="Arial" w:cs="Arial"/>
          <w:color w:val="000000"/>
          <w:sz w:val="20"/>
          <w:szCs w:val="20"/>
        </w:rPr>
        <w:t>and hostile to</w:t>
      </w:r>
      <w:r w:rsidR="00233308" w:rsidRPr="000A48D0">
        <w:rPr>
          <w:rFonts w:ascii="Arial" w:hAnsi="Arial" w:cs="Arial"/>
          <w:color w:val="000000"/>
          <w:sz w:val="20"/>
          <w:szCs w:val="20"/>
        </w:rPr>
        <w:t xml:space="preserve"> the deployment of onshore wind. This is concerning as the FES consumer transformation scenario</w:t>
      </w:r>
      <w:r w:rsidR="004A73D0" w:rsidRPr="000A48D0">
        <w:rPr>
          <w:rFonts w:ascii="Arial" w:hAnsi="Arial" w:cs="Arial"/>
          <w:color w:val="000000"/>
          <w:sz w:val="20"/>
          <w:szCs w:val="20"/>
        </w:rPr>
        <w:t xml:space="preserve"> from National Grid</w:t>
      </w:r>
      <w:r w:rsidR="00454526" w:rsidRPr="000A48D0">
        <w:rPr>
          <w:rFonts w:ascii="Arial" w:hAnsi="Arial" w:cs="Arial"/>
          <w:color w:val="000000"/>
          <w:sz w:val="20"/>
          <w:szCs w:val="20"/>
        </w:rPr>
        <w:t xml:space="preserve"> (the main scenario taken by Ofgem in its analysis)</w:t>
      </w:r>
      <w:r w:rsidR="00233308" w:rsidRPr="000A48D0">
        <w:rPr>
          <w:rFonts w:ascii="Arial" w:hAnsi="Arial" w:cs="Arial"/>
          <w:color w:val="000000"/>
          <w:sz w:val="20"/>
          <w:szCs w:val="20"/>
        </w:rPr>
        <w:t xml:space="preserve"> shows that we will need embedded onshore wind generation across the</w:t>
      </w:r>
      <w:r w:rsidR="004A73D0" w:rsidRPr="000A48D0">
        <w:rPr>
          <w:rFonts w:ascii="Arial" w:hAnsi="Arial" w:cs="Arial"/>
          <w:color w:val="000000"/>
          <w:sz w:val="20"/>
          <w:szCs w:val="20"/>
        </w:rPr>
        <w:t xml:space="preserve"> whole</w:t>
      </w:r>
      <w:r w:rsidR="00233308" w:rsidRPr="000A48D0">
        <w:rPr>
          <w:rFonts w:ascii="Arial" w:hAnsi="Arial" w:cs="Arial"/>
          <w:color w:val="000000"/>
          <w:sz w:val="20"/>
          <w:szCs w:val="20"/>
        </w:rPr>
        <w:t xml:space="preserve"> country. </w:t>
      </w:r>
      <w:r w:rsidR="002D22AA" w:rsidRPr="000A48D0">
        <w:rPr>
          <w:rFonts w:ascii="Arial" w:hAnsi="Arial" w:cs="Arial"/>
          <w:color w:val="000000"/>
          <w:sz w:val="20"/>
          <w:szCs w:val="20"/>
        </w:rPr>
        <w:t xml:space="preserve">Thus, if the current planning system in England is not favourable for the deployment of onshore </w:t>
      </w:r>
      <w:r w:rsidR="002D22AA" w:rsidRPr="000A48D0">
        <w:rPr>
          <w:rFonts w:ascii="Arial" w:hAnsi="Arial" w:cs="Arial"/>
          <w:color w:val="000000"/>
          <w:sz w:val="20"/>
          <w:szCs w:val="20"/>
        </w:rPr>
        <w:lastRenderedPageBreak/>
        <w:t xml:space="preserve">wind, it is not clear how we can locate all the onshore wind capacity in the south. This, added to the fact that most of the resource </w:t>
      </w:r>
      <w:proofErr w:type="gramStart"/>
      <w:r w:rsidR="002D22AA" w:rsidRPr="000A48D0">
        <w:rPr>
          <w:rFonts w:ascii="Arial" w:hAnsi="Arial" w:cs="Arial"/>
          <w:color w:val="000000"/>
          <w:sz w:val="20"/>
          <w:szCs w:val="20"/>
        </w:rPr>
        <w:t>is located in</w:t>
      </w:r>
      <w:proofErr w:type="gramEnd"/>
      <w:r w:rsidR="002D22AA" w:rsidRPr="000A48D0">
        <w:rPr>
          <w:rFonts w:ascii="Arial" w:hAnsi="Arial" w:cs="Arial"/>
          <w:color w:val="000000"/>
          <w:sz w:val="20"/>
          <w:szCs w:val="20"/>
        </w:rPr>
        <w:t xml:space="preserve"> Scotland. We believe that this is something that Ofgem must address in its proposal because again there is huge contradiction between regulation and government policies.</w:t>
      </w:r>
    </w:p>
    <w:p w14:paraId="3891ADD7" w14:textId="17CF73F5" w:rsidR="00C46094" w:rsidRPr="000A48D0" w:rsidRDefault="00BE682F" w:rsidP="000A48D0">
      <w:pPr>
        <w:jc w:val="both"/>
        <w:rPr>
          <w:rFonts w:ascii="Arial" w:hAnsi="Arial" w:cs="Arial"/>
          <w:color w:val="000000"/>
          <w:sz w:val="20"/>
          <w:szCs w:val="20"/>
        </w:rPr>
      </w:pPr>
      <w:r w:rsidRPr="000A48D0">
        <w:rPr>
          <w:rFonts w:ascii="Arial" w:hAnsi="Arial" w:cs="Arial"/>
          <w:color w:val="000000"/>
          <w:sz w:val="20"/>
          <w:szCs w:val="20"/>
        </w:rPr>
        <w:t xml:space="preserve">Additionally, </w:t>
      </w:r>
      <w:r w:rsidR="00C46094" w:rsidRPr="000A48D0">
        <w:rPr>
          <w:rFonts w:ascii="Arial" w:hAnsi="Arial" w:cs="Arial"/>
          <w:color w:val="000000"/>
          <w:sz w:val="20"/>
          <w:szCs w:val="20"/>
        </w:rPr>
        <w:t xml:space="preserve">we can see that the southern North Sea is becoming increasingly congested, with offshore wind projects seeking space to operate alongside many other users. Similarly, solar energy for large sites in the south of England is becoming </w:t>
      </w:r>
      <w:r w:rsidR="00894182" w:rsidRPr="000A48D0">
        <w:rPr>
          <w:rFonts w:ascii="Arial" w:hAnsi="Arial" w:cs="Arial"/>
          <w:color w:val="000000"/>
          <w:sz w:val="20"/>
          <w:szCs w:val="20"/>
        </w:rPr>
        <w:t>progressively</w:t>
      </w:r>
      <w:r w:rsidR="00C46094" w:rsidRPr="000A48D0">
        <w:rPr>
          <w:rFonts w:ascii="Arial" w:hAnsi="Arial" w:cs="Arial"/>
          <w:color w:val="000000"/>
          <w:sz w:val="20"/>
          <w:szCs w:val="20"/>
        </w:rPr>
        <w:t xml:space="preserve"> difficult to find</w:t>
      </w:r>
      <w:r w:rsidR="004C7643" w:rsidRPr="000A48D0">
        <w:rPr>
          <w:rFonts w:ascii="Arial" w:hAnsi="Arial" w:cs="Arial"/>
          <w:color w:val="000000"/>
          <w:sz w:val="20"/>
          <w:szCs w:val="20"/>
        </w:rPr>
        <w:t xml:space="preserve">. Overall, we can see how </w:t>
      </w:r>
      <w:r w:rsidR="00894182" w:rsidRPr="000A48D0">
        <w:rPr>
          <w:rFonts w:ascii="Arial" w:hAnsi="Arial" w:cs="Arial"/>
          <w:color w:val="000000"/>
          <w:sz w:val="20"/>
          <w:szCs w:val="20"/>
        </w:rPr>
        <w:t xml:space="preserve">Scotland’s renewable resource will become gradually more important to supply the energy we will need to meet our climate targets. </w:t>
      </w:r>
      <w:r w:rsidR="004C7643" w:rsidRPr="000A48D0">
        <w:rPr>
          <w:rFonts w:ascii="Arial" w:hAnsi="Arial" w:cs="Arial"/>
          <w:color w:val="000000"/>
          <w:sz w:val="20"/>
          <w:szCs w:val="20"/>
        </w:rPr>
        <w:t>Therefore, this is an important variable that Ofgem must consider in its analysis.</w:t>
      </w:r>
    </w:p>
    <w:p w14:paraId="567C5E0A" w14:textId="13D4A05F" w:rsidR="009D0DC1" w:rsidRPr="000A48D0" w:rsidRDefault="00714DF6" w:rsidP="000A48D0">
      <w:pPr>
        <w:pStyle w:val="NormalWeb"/>
        <w:numPr>
          <w:ilvl w:val="0"/>
          <w:numId w:val="15"/>
        </w:numPr>
        <w:spacing w:before="0" w:beforeAutospacing="0" w:after="0" w:afterAutospacing="0" w:line="276" w:lineRule="auto"/>
        <w:jc w:val="both"/>
        <w:rPr>
          <w:rFonts w:ascii="Arial" w:hAnsi="Arial" w:cs="Arial"/>
          <w:color w:val="000000"/>
          <w:sz w:val="20"/>
          <w:szCs w:val="20"/>
        </w:rPr>
      </w:pPr>
      <w:r w:rsidRPr="000A48D0">
        <w:rPr>
          <w:rFonts w:ascii="Arial" w:hAnsi="Arial" w:cs="Arial"/>
          <w:color w:val="000000"/>
          <w:sz w:val="20"/>
          <w:szCs w:val="20"/>
        </w:rPr>
        <w:t>Th</w:t>
      </w:r>
      <w:r w:rsidR="00A15277" w:rsidRPr="000A48D0">
        <w:rPr>
          <w:rFonts w:ascii="Arial" w:hAnsi="Arial" w:cs="Arial"/>
          <w:color w:val="000000"/>
          <w:sz w:val="20"/>
          <w:szCs w:val="20"/>
        </w:rPr>
        <w:t>e</w:t>
      </w:r>
      <w:r w:rsidRPr="000A48D0">
        <w:rPr>
          <w:rFonts w:ascii="Arial" w:hAnsi="Arial" w:cs="Arial"/>
          <w:color w:val="000000"/>
          <w:sz w:val="20"/>
          <w:szCs w:val="20"/>
        </w:rPr>
        <w:t xml:space="preserve"> impact on repowering decisions. </w:t>
      </w:r>
    </w:p>
    <w:p w14:paraId="5F19287D" w14:textId="77777777" w:rsidR="009D0DC1" w:rsidRPr="000A48D0" w:rsidRDefault="009D0DC1" w:rsidP="000A48D0">
      <w:pPr>
        <w:pStyle w:val="NormalWeb"/>
        <w:spacing w:before="0" w:beforeAutospacing="0" w:after="0" w:afterAutospacing="0" w:line="276" w:lineRule="auto"/>
        <w:ind w:left="720"/>
        <w:jc w:val="both"/>
        <w:rPr>
          <w:rFonts w:ascii="Arial" w:hAnsi="Arial" w:cs="Arial"/>
          <w:color w:val="000000"/>
          <w:sz w:val="20"/>
          <w:szCs w:val="20"/>
        </w:rPr>
      </w:pPr>
    </w:p>
    <w:p w14:paraId="02BFD915" w14:textId="356A310F" w:rsidR="009D757D" w:rsidRPr="000A48D0" w:rsidRDefault="00714DF6" w:rsidP="000A48D0">
      <w:pPr>
        <w:pStyle w:val="NormalWeb"/>
        <w:spacing w:before="0" w:beforeAutospacing="0" w:after="0" w:afterAutospacing="0" w:line="276" w:lineRule="auto"/>
        <w:jc w:val="both"/>
        <w:rPr>
          <w:rFonts w:ascii="Arial" w:eastAsiaTheme="minorHAnsi" w:hAnsi="Arial" w:cs="Arial"/>
          <w:color w:val="000000"/>
          <w:sz w:val="20"/>
          <w:szCs w:val="20"/>
          <w:lang w:eastAsia="en-US"/>
        </w:rPr>
      </w:pPr>
      <w:r w:rsidRPr="000A48D0">
        <w:rPr>
          <w:rFonts w:ascii="Arial" w:eastAsiaTheme="minorHAnsi" w:hAnsi="Arial" w:cs="Arial"/>
          <w:color w:val="000000"/>
          <w:sz w:val="20"/>
          <w:szCs w:val="20"/>
          <w:lang w:eastAsia="en-US"/>
        </w:rPr>
        <w:t>The model has not sufficiently identified the impact on repowering decisions</w:t>
      </w:r>
      <w:r w:rsidR="00563C81" w:rsidRPr="000A48D0">
        <w:rPr>
          <w:rFonts w:ascii="Arial" w:eastAsiaTheme="minorHAnsi" w:hAnsi="Arial" w:cs="Arial"/>
          <w:color w:val="000000"/>
          <w:sz w:val="20"/>
          <w:szCs w:val="20"/>
          <w:lang w:eastAsia="en-US"/>
        </w:rPr>
        <w:t>.</w:t>
      </w:r>
      <w:r w:rsidR="009D0DC1" w:rsidRPr="000A48D0">
        <w:rPr>
          <w:rFonts w:ascii="Arial" w:eastAsiaTheme="minorHAnsi" w:hAnsi="Arial" w:cs="Arial"/>
          <w:color w:val="000000"/>
          <w:sz w:val="20"/>
          <w:szCs w:val="20"/>
          <w:lang w:eastAsia="en-US"/>
        </w:rPr>
        <w:t xml:space="preserve"> </w:t>
      </w:r>
      <w:r w:rsidR="007A0718" w:rsidRPr="000A48D0">
        <w:rPr>
          <w:rFonts w:ascii="Arial" w:eastAsiaTheme="minorHAnsi" w:hAnsi="Arial" w:cs="Arial"/>
          <w:color w:val="000000"/>
          <w:sz w:val="20"/>
          <w:szCs w:val="20"/>
          <w:lang w:eastAsia="en-US"/>
        </w:rPr>
        <w:t>Currently</w:t>
      </w:r>
      <w:r w:rsidR="00454526" w:rsidRPr="000A48D0">
        <w:rPr>
          <w:rFonts w:ascii="Arial" w:eastAsiaTheme="minorHAnsi" w:hAnsi="Arial" w:cs="Arial"/>
          <w:color w:val="000000"/>
          <w:sz w:val="20"/>
          <w:szCs w:val="20"/>
          <w:lang w:eastAsia="en-US"/>
        </w:rPr>
        <w:t xml:space="preserve">, Scotland has </w:t>
      </w:r>
      <w:r w:rsidR="001B1758" w:rsidRPr="000A48D0">
        <w:rPr>
          <w:rFonts w:ascii="Arial" w:eastAsiaTheme="minorHAnsi" w:hAnsi="Arial" w:cs="Arial"/>
          <w:color w:val="000000"/>
          <w:sz w:val="20"/>
          <w:szCs w:val="20"/>
          <w:lang w:eastAsia="en-US"/>
        </w:rPr>
        <w:t>60% of the UK’s onshore wind capacity</w:t>
      </w:r>
      <w:r w:rsidR="00454526" w:rsidRPr="000A48D0">
        <w:rPr>
          <w:rFonts w:ascii="Arial" w:eastAsiaTheme="minorHAnsi" w:hAnsi="Arial" w:cs="Arial"/>
          <w:color w:val="000000"/>
          <w:sz w:val="20"/>
          <w:szCs w:val="20"/>
          <w:lang w:eastAsia="en-US"/>
        </w:rPr>
        <w:t xml:space="preserve"> and b</w:t>
      </w:r>
      <w:r w:rsidR="009D0DC1" w:rsidRPr="000A48D0">
        <w:rPr>
          <w:rFonts w:ascii="Arial" w:eastAsiaTheme="minorHAnsi" w:hAnsi="Arial" w:cs="Arial"/>
          <w:color w:val="000000"/>
          <w:sz w:val="20"/>
          <w:szCs w:val="20"/>
          <w:lang w:eastAsia="en-US"/>
        </w:rPr>
        <w:t>y 2035 many operational projects will reach the end of their consented period</w:t>
      </w:r>
      <w:r w:rsidR="00F45879" w:rsidRPr="000A48D0">
        <w:rPr>
          <w:rFonts w:ascii="Arial" w:eastAsiaTheme="minorHAnsi" w:hAnsi="Arial" w:cs="Arial"/>
          <w:color w:val="000000"/>
          <w:sz w:val="20"/>
          <w:szCs w:val="20"/>
          <w:lang w:eastAsia="en-US"/>
        </w:rPr>
        <w:t>,</w:t>
      </w:r>
      <w:r w:rsidR="009D0DC1" w:rsidRPr="000A48D0">
        <w:rPr>
          <w:rFonts w:ascii="Arial" w:eastAsiaTheme="minorHAnsi" w:hAnsi="Arial" w:cs="Arial"/>
          <w:color w:val="000000"/>
          <w:sz w:val="20"/>
          <w:szCs w:val="20"/>
          <w:lang w:eastAsia="en-US"/>
        </w:rPr>
        <w:t xml:space="preserve"> </w:t>
      </w:r>
      <w:r w:rsidR="00454526" w:rsidRPr="000A48D0">
        <w:rPr>
          <w:rFonts w:ascii="Arial" w:eastAsiaTheme="minorHAnsi" w:hAnsi="Arial" w:cs="Arial"/>
          <w:color w:val="000000"/>
          <w:sz w:val="20"/>
          <w:szCs w:val="20"/>
          <w:lang w:eastAsia="en-US"/>
        </w:rPr>
        <w:t>requiring</w:t>
      </w:r>
      <w:r w:rsidR="009D0DC1" w:rsidRPr="000A48D0">
        <w:rPr>
          <w:rFonts w:ascii="Arial" w:eastAsiaTheme="minorHAnsi" w:hAnsi="Arial" w:cs="Arial"/>
          <w:color w:val="000000"/>
          <w:sz w:val="20"/>
          <w:szCs w:val="20"/>
          <w:lang w:eastAsia="en-US"/>
        </w:rPr>
        <w:t xml:space="preserve"> reconsenting and repowering with the latest turbines</w:t>
      </w:r>
      <w:r w:rsidR="00F4125F" w:rsidRPr="000A48D0">
        <w:rPr>
          <w:rFonts w:ascii="Arial" w:eastAsiaTheme="minorHAnsi" w:hAnsi="Arial" w:cs="Arial"/>
          <w:color w:val="000000"/>
          <w:sz w:val="20"/>
          <w:szCs w:val="20"/>
          <w:lang w:eastAsia="en-US"/>
        </w:rPr>
        <w:t xml:space="preserve"> in areas that are proven to be suitable for renewable generation</w:t>
      </w:r>
      <w:r w:rsidR="009D0DC1" w:rsidRPr="000A48D0">
        <w:rPr>
          <w:rFonts w:ascii="Arial" w:eastAsiaTheme="minorHAnsi" w:hAnsi="Arial" w:cs="Arial"/>
          <w:color w:val="000000"/>
          <w:sz w:val="20"/>
          <w:szCs w:val="20"/>
          <w:lang w:eastAsia="en-US"/>
        </w:rPr>
        <w:t>.</w:t>
      </w:r>
      <w:r w:rsidR="00454526" w:rsidRPr="000A48D0">
        <w:rPr>
          <w:rFonts w:ascii="Arial" w:eastAsiaTheme="minorHAnsi" w:hAnsi="Arial" w:cs="Arial"/>
          <w:color w:val="000000"/>
          <w:sz w:val="20"/>
          <w:szCs w:val="20"/>
          <w:lang w:eastAsia="en-US"/>
        </w:rPr>
        <w:t xml:space="preserve"> Repowering and new sites will both</w:t>
      </w:r>
      <w:r w:rsidR="00F45879" w:rsidRPr="000A48D0">
        <w:rPr>
          <w:rFonts w:ascii="Arial" w:eastAsiaTheme="minorHAnsi" w:hAnsi="Arial" w:cs="Arial"/>
          <w:color w:val="000000"/>
          <w:sz w:val="20"/>
          <w:szCs w:val="20"/>
          <w:lang w:eastAsia="en-US"/>
        </w:rPr>
        <w:t xml:space="preserve"> be</w:t>
      </w:r>
      <w:r w:rsidR="00454526" w:rsidRPr="000A48D0">
        <w:rPr>
          <w:rFonts w:ascii="Arial" w:eastAsiaTheme="minorHAnsi" w:hAnsi="Arial" w:cs="Arial"/>
          <w:color w:val="000000"/>
          <w:sz w:val="20"/>
          <w:szCs w:val="20"/>
          <w:lang w:eastAsia="en-US"/>
        </w:rPr>
        <w:t xml:space="preserve"> needed to achieve net zero</w:t>
      </w:r>
      <w:r w:rsidR="009D757D" w:rsidRPr="000A48D0">
        <w:rPr>
          <w:rFonts w:ascii="Arial" w:eastAsiaTheme="minorHAnsi" w:hAnsi="Arial" w:cs="Arial"/>
          <w:color w:val="000000"/>
          <w:sz w:val="20"/>
          <w:szCs w:val="20"/>
          <w:lang w:eastAsia="en-US"/>
        </w:rPr>
        <w:t xml:space="preserve">. </w:t>
      </w:r>
    </w:p>
    <w:p w14:paraId="7F3D9831" w14:textId="77777777" w:rsidR="009D757D" w:rsidRPr="000A48D0" w:rsidRDefault="009D757D" w:rsidP="000A48D0">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549F7492" w14:textId="74B928DE" w:rsidR="006706C3" w:rsidRPr="000A48D0" w:rsidRDefault="009D757D" w:rsidP="000A48D0">
      <w:pPr>
        <w:pStyle w:val="NormalWeb"/>
        <w:spacing w:before="0" w:beforeAutospacing="0" w:after="0" w:afterAutospacing="0" w:line="276" w:lineRule="auto"/>
        <w:jc w:val="both"/>
        <w:rPr>
          <w:rFonts w:ascii="Arial" w:eastAsiaTheme="minorHAnsi" w:hAnsi="Arial" w:cs="Arial"/>
          <w:color w:val="000000"/>
          <w:sz w:val="20"/>
          <w:szCs w:val="20"/>
          <w:lang w:eastAsia="en-US"/>
        </w:rPr>
      </w:pPr>
      <w:r w:rsidRPr="000A48D0">
        <w:rPr>
          <w:rFonts w:ascii="Arial" w:eastAsiaTheme="minorHAnsi" w:hAnsi="Arial" w:cs="Arial"/>
          <w:color w:val="000000"/>
          <w:sz w:val="20"/>
          <w:szCs w:val="20"/>
          <w:lang w:eastAsia="en-US"/>
        </w:rPr>
        <w:t>In the consultation document</w:t>
      </w:r>
      <w:r w:rsidR="00F45879" w:rsidRPr="000A48D0">
        <w:rPr>
          <w:rFonts w:ascii="Arial" w:eastAsiaTheme="minorHAnsi" w:hAnsi="Arial" w:cs="Arial"/>
          <w:color w:val="000000"/>
          <w:sz w:val="20"/>
          <w:szCs w:val="20"/>
          <w:lang w:eastAsia="en-US"/>
        </w:rPr>
        <w:t>,</w:t>
      </w:r>
      <w:r w:rsidRPr="000A48D0">
        <w:rPr>
          <w:rFonts w:ascii="Arial" w:eastAsiaTheme="minorHAnsi" w:hAnsi="Arial" w:cs="Arial"/>
          <w:color w:val="000000"/>
          <w:sz w:val="20"/>
          <w:szCs w:val="20"/>
          <w:lang w:eastAsia="en-US"/>
        </w:rPr>
        <w:t xml:space="preserve"> Ofgem recognises there is a risk that if existing generators fac</w:t>
      </w:r>
      <w:r w:rsidR="007803F9" w:rsidRPr="000A48D0">
        <w:rPr>
          <w:rFonts w:ascii="Arial" w:eastAsiaTheme="minorHAnsi" w:hAnsi="Arial" w:cs="Arial"/>
          <w:color w:val="000000"/>
          <w:sz w:val="20"/>
          <w:szCs w:val="20"/>
          <w:lang w:eastAsia="en-US"/>
        </w:rPr>
        <w:t>ing</w:t>
      </w:r>
      <w:r w:rsidRPr="000A48D0">
        <w:rPr>
          <w:rFonts w:ascii="Arial" w:eastAsiaTheme="minorHAnsi" w:hAnsi="Arial" w:cs="Arial"/>
          <w:color w:val="000000"/>
          <w:sz w:val="20"/>
          <w:szCs w:val="20"/>
          <w:lang w:eastAsia="en-US"/>
        </w:rPr>
        <w:t xml:space="preserve"> significant increases in </w:t>
      </w:r>
      <w:proofErr w:type="spellStart"/>
      <w:r w:rsidRPr="000A48D0">
        <w:rPr>
          <w:rFonts w:ascii="Arial" w:eastAsiaTheme="minorHAnsi" w:hAnsi="Arial" w:cs="Arial"/>
          <w:color w:val="000000"/>
          <w:sz w:val="20"/>
          <w:szCs w:val="20"/>
          <w:lang w:eastAsia="en-US"/>
        </w:rPr>
        <w:t>TNUoS</w:t>
      </w:r>
      <w:proofErr w:type="spellEnd"/>
      <w:r w:rsidRPr="000A48D0">
        <w:rPr>
          <w:rFonts w:ascii="Arial" w:eastAsiaTheme="minorHAnsi" w:hAnsi="Arial" w:cs="Arial"/>
          <w:color w:val="000000"/>
          <w:sz w:val="20"/>
          <w:szCs w:val="20"/>
          <w:lang w:eastAsia="en-US"/>
        </w:rPr>
        <w:t xml:space="preserve"> charges (up to £30/kW) choose not to repower and alternative generators are not able to internalise the impact, then some network assets built to provide capacity will become stranded. This is concerning because the ‘quantitative analysis of Ofgem options’ illustrates that over the period </w:t>
      </w:r>
      <w:r w:rsidR="00CC10E8" w:rsidRPr="000A48D0">
        <w:rPr>
          <w:rFonts w:ascii="Arial" w:eastAsiaTheme="minorHAnsi" w:hAnsi="Arial" w:cs="Arial"/>
          <w:color w:val="000000"/>
          <w:sz w:val="20"/>
          <w:szCs w:val="20"/>
          <w:lang w:eastAsia="en-US"/>
        </w:rPr>
        <w:t xml:space="preserve">between 2024 and 2040, distribution-connected onshore wind will </w:t>
      </w:r>
      <w:r w:rsidR="0085679E" w:rsidRPr="000A48D0">
        <w:rPr>
          <w:rFonts w:ascii="Arial" w:eastAsiaTheme="minorHAnsi" w:hAnsi="Arial" w:cs="Arial"/>
          <w:color w:val="000000"/>
          <w:sz w:val="20"/>
          <w:szCs w:val="20"/>
          <w:lang w:eastAsia="en-US"/>
        </w:rPr>
        <w:t xml:space="preserve">have losses </w:t>
      </w:r>
      <w:r w:rsidR="00CC10E8" w:rsidRPr="000A48D0">
        <w:rPr>
          <w:rFonts w:ascii="Arial" w:eastAsiaTheme="minorHAnsi" w:hAnsi="Arial" w:cs="Arial"/>
          <w:color w:val="000000"/>
          <w:sz w:val="20"/>
          <w:szCs w:val="20"/>
          <w:lang w:eastAsia="en-US"/>
        </w:rPr>
        <w:t>of -369 and -226.4 £/kW</w:t>
      </w:r>
      <w:r w:rsidR="0085679E" w:rsidRPr="000A48D0">
        <w:rPr>
          <w:rFonts w:ascii="Arial" w:eastAsiaTheme="minorHAnsi" w:hAnsi="Arial" w:cs="Arial"/>
          <w:color w:val="000000"/>
          <w:sz w:val="20"/>
          <w:szCs w:val="20"/>
          <w:lang w:eastAsia="en-US"/>
        </w:rPr>
        <w:t xml:space="preserve"> (in terms of NPV)</w:t>
      </w:r>
      <w:r w:rsidR="00CC10E8" w:rsidRPr="000A48D0">
        <w:rPr>
          <w:rFonts w:ascii="Arial" w:eastAsiaTheme="minorHAnsi" w:hAnsi="Arial" w:cs="Arial"/>
          <w:color w:val="000000"/>
          <w:sz w:val="20"/>
          <w:szCs w:val="20"/>
          <w:lang w:eastAsia="en-US"/>
        </w:rPr>
        <w:t xml:space="preserve"> in the north and south </w:t>
      </w:r>
      <w:r w:rsidR="00F45879" w:rsidRPr="000A48D0">
        <w:rPr>
          <w:rFonts w:ascii="Arial" w:eastAsiaTheme="minorHAnsi" w:hAnsi="Arial" w:cs="Arial"/>
          <w:color w:val="000000"/>
          <w:sz w:val="20"/>
          <w:szCs w:val="20"/>
          <w:lang w:eastAsia="en-US"/>
        </w:rPr>
        <w:t xml:space="preserve">of </w:t>
      </w:r>
      <w:r w:rsidR="00CC10E8" w:rsidRPr="000A48D0">
        <w:rPr>
          <w:rFonts w:ascii="Arial" w:eastAsiaTheme="minorHAnsi" w:hAnsi="Arial" w:cs="Arial"/>
          <w:color w:val="000000"/>
          <w:sz w:val="20"/>
          <w:szCs w:val="20"/>
          <w:lang w:eastAsia="en-US"/>
        </w:rPr>
        <w:t>Scotland respectively. This will clearly demotivate any repowering decisions</w:t>
      </w:r>
      <w:r w:rsidR="00BA40F9" w:rsidRPr="000A48D0">
        <w:rPr>
          <w:rFonts w:ascii="Arial" w:eastAsiaTheme="minorHAnsi" w:hAnsi="Arial" w:cs="Arial"/>
          <w:color w:val="000000"/>
          <w:sz w:val="20"/>
          <w:szCs w:val="20"/>
          <w:lang w:eastAsia="en-US"/>
        </w:rPr>
        <w:t>.</w:t>
      </w:r>
    </w:p>
    <w:p w14:paraId="7516C619" w14:textId="77777777" w:rsidR="00F45879" w:rsidRPr="000A48D0" w:rsidRDefault="00F45879" w:rsidP="000A48D0">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5F707D21" w14:textId="2566A6F3" w:rsidR="00A15277" w:rsidRPr="000A48D0" w:rsidRDefault="00A15277" w:rsidP="000A48D0">
      <w:pPr>
        <w:pStyle w:val="NormalWeb"/>
        <w:numPr>
          <w:ilvl w:val="0"/>
          <w:numId w:val="15"/>
        </w:numPr>
        <w:spacing w:before="0" w:beforeAutospacing="0" w:after="0" w:afterAutospacing="0" w:line="276" w:lineRule="auto"/>
        <w:jc w:val="both"/>
        <w:rPr>
          <w:rFonts w:ascii="Arial" w:hAnsi="Arial" w:cs="Arial"/>
          <w:color w:val="000000"/>
          <w:sz w:val="20"/>
          <w:szCs w:val="20"/>
        </w:rPr>
      </w:pPr>
      <w:r w:rsidRPr="000A48D0">
        <w:rPr>
          <w:rFonts w:ascii="Arial" w:hAnsi="Arial" w:cs="Arial"/>
          <w:color w:val="000000"/>
          <w:sz w:val="20"/>
          <w:szCs w:val="20"/>
        </w:rPr>
        <w:t>Increased risk profile for developers</w:t>
      </w:r>
    </w:p>
    <w:bookmarkEnd w:id="3"/>
    <w:p w14:paraId="490D9EE9" w14:textId="77777777" w:rsidR="00A15277" w:rsidRPr="000A48D0" w:rsidRDefault="00A15277" w:rsidP="000A48D0">
      <w:pPr>
        <w:pStyle w:val="NormalWeb"/>
        <w:spacing w:before="0" w:beforeAutospacing="0" w:after="0" w:afterAutospacing="0" w:line="276" w:lineRule="auto"/>
        <w:jc w:val="both"/>
        <w:rPr>
          <w:rFonts w:ascii="Arial" w:hAnsi="Arial" w:cs="Arial"/>
          <w:color w:val="000000"/>
          <w:sz w:val="20"/>
          <w:szCs w:val="20"/>
        </w:rPr>
      </w:pPr>
    </w:p>
    <w:p w14:paraId="18987C3F" w14:textId="6C3A64E8" w:rsidR="00EF7C25" w:rsidRPr="000A48D0" w:rsidRDefault="00990A7B" w:rsidP="000A48D0">
      <w:pPr>
        <w:pStyle w:val="NormalWeb"/>
        <w:spacing w:before="0" w:beforeAutospacing="0" w:after="0" w:afterAutospacing="0" w:line="276" w:lineRule="auto"/>
        <w:jc w:val="both"/>
        <w:rPr>
          <w:rFonts w:ascii="Arial" w:hAnsi="Arial" w:cs="Arial"/>
          <w:color w:val="000000"/>
          <w:sz w:val="20"/>
          <w:szCs w:val="20"/>
        </w:rPr>
      </w:pPr>
      <w:r w:rsidRPr="000A48D0">
        <w:rPr>
          <w:rFonts w:ascii="Arial" w:hAnsi="Arial" w:cs="Arial"/>
          <w:color w:val="000000"/>
          <w:sz w:val="20"/>
          <w:szCs w:val="20"/>
        </w:rPr>
        <w:t xml:space="preserve">If </w:t>
      </w:r>
      <w:proofErr w:type="spellStart"/>
      <w:r w:rsidRPr="000A48D0">
        <w:rPr>
          <w:rFonts w:ascii="Arial" w:hAnsi="Arial" w:cs="Arial"/>
          <w:color w:val="000000"/>
          <w:sz w:val="20"/>
          <w:szCs w:val="20"/>
        </w:rPr>
        <w:t>T</w:t>
      </w:r>
      <w:r w:rsidR="00FF56A9" w:rsidRPr="000A48D0">
        <w:rPr>
          <w:rFonts w:ascii="Arial" w:hAnsi="Arial" w:cs="Arial"/>
          <w:color w:val="000000"/>
          <w:sz w:val="20"/>
          <w:szCs w:val="20"/>
        </w:rPr>
        <w:t>N</w:t>
      </w:r>
      <w:r w:rsidRPr="000A48D0">
        <w:rPr>
          <w:rFonts w:ascii="Arial" w:hAnsi="Arial" w:cs="Arial"/>
          <w:color w:val="000000"/>
          <w:sz w:val="20"/>
          <w:szCs w:val="20"/>
        </w:rPr>
        <w:t>UoS</w:t>
      </w:r>
      <w:proofErr w:type="spellEnd"/>
      <w:r w:rsidRPr="000A48D0">
        <w:rPr>
          <w:rFonts w:ascii="Arial" w:hAnsi="Arial" w:cs="Arial"/>
          <w:color w:val="000000"/>
          <w:sz w:val="20"/>
          <w:szCs w:val="20"/>
        </w:rPr>
        <w:t xml:space="preserve"> charges are applied to SDG, n</w:t>
      </w:r>
      <w:r w:rsidR="00FF56A9" w:rsidRPr="000A48D0">
        <w:rPr>
          <w:rFonts w:ascii="Arial" w:hAnsi="Arial" w:cs="Arial"/>
          <w:color w:val="000000"/>
          <w:sz w:val="20"/>
          <w:szCs w:val="20"/>
        </w:rPr>
        <w:t>ew renewable projects can account for higher</w:t>
      </w:r>
      <w:r w:rsidR="00D17AE1" w:rsidRPr="000A48D0">
        <w:rPr>
          <w:rFonts w:ascii="Arial" w:hAnsi="Arial" w:cs="Arial"/>
          <w:color w:val="000000"/>
          <w:sz w:val="20"/>
          <w:szCs w:val="20"/>
        </w:rPr>
        <w:t xml:space="preserve"> </w:t>
      </w:r>
      <w:proofErr w:type="spellStart"/>
      <w:r w:rsidR="00FF56A9" w:rsidRPr="000A48D0">
        <w:rPr>
          <w:rFonts w:ascii="Arial" w:hAnsi="Arial" w:cs="Arial"/>
          <w:color w:val="000000"/>
          <w:sz w:val="20"/>
          <w:szCs w:val="20"/>
        </w:rPr>
        <w:t>TNUoS</w:t>
      </w:r>
      <w:proofErr w:type="spellEnd"/>
      <w:r w:rsidR="00FF56A9" w:rsidRPr="000A48D0">
        <w:rPr>
          <w:rFonts w:ascii="Arial" w:hAnsi="Arial" w:cs="Arial"/>
          <w:color w:val="000000"/>
          <w:sz w:val="20"/>
          <w:szCs w:val="20"/>
        </w:rPr>
        <w:t xml:space="preserve"> costs in their </w:t>
      </w:r>
      <w:proofErr w:type="spellStart"/>
      <w:r w:rsidR="00FF56A9" w:rsidRPr="000A48D0">
        <w:rPr>
          <w:rFonts w:ascii="Arial" w:hAnsi="Arial" w:cs="Arial"/>
          <w:color w:val="000000"/>
          <w:sz w:val="20"/>
          <w:szCs w:val="20"/>
        </w:rPr>
        <w:t>CfD</w:t>
      </w:r>
      <w:proofErr w:type="spellEnd"/>
      <w:r w:rsidR="00FF56A9" w:rsidRPr="000A48D0">
        <w:rPr>
          <w:rFonts w:ascii="Arial" w:hAnsi="Arial" w:cs="Arial"/>
          <w:color w:val="000000"/>
          <w:sz w:val="20"/>
          <w:szCs w:val="20"/>
        </w:rPr>
        <w:t xml:space="preserve"> bid</w:t>
      </w:r>
      <w:r w:rsidR="00EF7C25" w:rsidRPr="000A48D0">
        <w:rPr>
          <w:rFonts w:ascii="Arial" w:hAnsi="Arial" w:cs="Arial"/>
          <w:color w:val="000000"/>
          <w:sz w:val="20"/>
          <w:szCs w:val="20"/>
        </w:rPr>
        <w:t>, but existing renewable projects do not have the chance to do this, which increases the risk profile for developers</w:t>
      </w:r>
      <w:r w:rsidR="00FA7F73" w:rsidRPr="000A48D0">
        <w:rPr>
          <w:rFonts w:ascii="Arial" w:hAnsi="Arial" w:cs="Arial"/>
          <w:color w:val="000000"/>
          <w:sz w:val="20"/>
          <w:szCs w:val="20"/>
        </w:rPr>
        <w:t>, risk that is intensified with the greater regulatory uncertainty.</w:t>
      </w:r>
      <w:r w:rsidR="00EF7C25" w:rsidRPr="000A48D0">
        <w:rPr>
          <w:rFonts w:ascii="Arial" w:hAnsi="Arial" w:cs="Arial"/>
          <w:color w:val="000000"/>
          <w:sz w:val="20"/>
          <w:szCs w:val="20"/>
        </w:rPr>
        <w:t xml:space="preserve"> Furthermore, it is important to highlight </w:t>
      </w:r>
      <w:proofErr w:type="gramStart"/>
      <w:r w:rsidR="006C4398" w:rsidRPr="000A48D0">
        <w:rPr>
          <w:rFonts w:ascii="Arial" w:hAnsi="Arial" w:cs="Arial"/>
          <w:color w:val="000000"/>
          <w:sz w:val="20"/>
          <w:szCs w:val="20"/>
        </w:rPr>
        <w:t>that customers</w:t>
      </w:r>
      <w:proofErr w:type="gramEnd"/>
      <w:r w:rsidR="00EF7C25" w:rsidRPr="000A48D0">
        <w:rPr>
          <w:rFonts w:ascii="Arial" w:hAnsi="Arial" w:cs="Arial"/>
          <w:color w:val="000000"/>
          <w:sz w:val="20"/>
          <w:szCs w:val="20"/>
        </w:rPr>
        <w:t xml:space="preserve"> do not end up obtaining a saving, potentially they can </w:t>
      </w:r>
      <w:r w:rsidR="00BF5AEC" w:rsidRPr="000A48D0">
        <w:rPr>
          <w:rFonts w:ascii="Arial" w:hAnsi="Arial" w:cs="Arial"/>
          <w:color w:val="000000"/>
          <w:sz w:val="20"/>
          <w:szCs w:val="20"/>
        </w:rPr>
        <w:t>get</w:t>
      </w:r>
      <w:r w:rsidR="00EF7C25" w:rsidRPr="000A48D0">
        <w:rPr>
          <w:rFonts w:ascii="Arial" w:hAnsi="Arial" w:cs="Arial"/>
          <w:color w:val="000000"/>
          <w:sz w:val="20"/>
          <w:szCs w:val="20"/>
        </w:rPr>
        <w:t xml:space="preserve"> cheaper </w:t>
      </w:r>
      <w:proofErr w:type="spellStart"/>
      <w:r w:rsidR="00EF7C25" w:rsidRPr="000A48D0">
        <w:rPr>
          <w:rFonts w:ascii="Arial" w:hAnsi="Arial" w:cs="Arial"/>
          <w:color w:val="000000"/>
          <w:sz w:val="20"/>
          <w:szCs w:val="20"/>
        </w:rPr>
        <w:t>TNUoS</w:t>
      </w:r>
      <w:proofErr w:type="spellEnd"/>
      <w:r w:rsidR="00EF7C25" w:rsidRPr="000A48D0">
        <w:rPr>
          <w:rFonts w:ascii="Arial" w:hAnsi="Arial" w:cs="Arial"/>
          <w:color w:val="000000"/>
          <w:sz w:val="20"/>
          <w:szCs w:val="20"/>
        </w:rPr>
        <w:t xml:space="preserve"> in exchange for more expensive </w:t>
      </w:r>
      <w:proofErr w:type="spellStart"/>
      <w:r w:rsidR="00EF7C25" w:rsidRPr="000A48D0">
        <w:rPr>
          <w:rFonts w:ascii="Arial" w:hAnsi="Arial" w:cs="Arial"/>
          <w:color w:val="000000"/>
          <w:sz w:val="20"/>
          <w:szCs w:val="20"/>
        </w:rPr>
        <w:t>CfDs</w:t>
      </w:r>
      <w:proofErr w:type="spellEnd"/>
      <w:r w:rsidR="00EF7C25" w:rsidRPr="000A48D0">
        <w:rPr>
          <w:rFonts w:ascii="Arial" w:hAnsi="Arial" w:cs="Arial"/>
          <w:color w:val="000000"/>
          <w:sz w:val="20"/>
          <w:szCs w:val="20"/>
        </w:rPr>
        <w:t>.</w:t>
      </w:r>
    </w:p>
    <w:p w14:paraId="57E40621" w14:textId="77777777" w:rsidR="006C4398" w:rsidRPr="000A48D0" w:rsidRDefault="006C4398" w:rsidP="000A48D0">
      <w:pPr>
        <w:pStyle w:val="NormalWeb"/>
        <w:spacing w:before="0" w:beforeAutospacing="0" w:after="0" w:afterAutospacing="0" w:line="276" w:lineRule="auto"/>
        <w:jc w:val="both"/>
        <w:rPr>
          <w:rFonts w:ascii="Arial" w:hAnsi="Arial" w:cs="Arial"/>
          <w:color w:val="000000"/>
          <w:sz w:val="20"/>
          <w:szCs w:val="20"/>
        </w:rPr>
      </w:pPr>
    </w:p>
    <w:p w14:paraId="032C46A9" w14:textId="1E892837" w:rsidR="006706C3" w:rsidRPr="000A48D0" w:rsidRDefault="006C4398" w:rsidP="000A48D0">
      <w:pPr>
        <w:jc w:val="both"/>
        <w:rPr>
          <w:rFonts w:ascii="Arial" w:hAnsi="Arial" w:cs="Arial"/>
          <w:sz w:val="20"/>
          <w:szCs w:val="20"/>
        </w:rPr>
      </w:pPr>
      <w:r w:rsidRPr="000A48D0">
        <w:rPr>
          <w:rFonts w:ascii="Arial" w:hAnsi="Arial" w:cs="Arial"/>
          <w:sz w:val="20"/>
          <w:szCs w:val="20"/>
        </w:rPr>
        <w:t xml:space="preserve">We think that if Ofgem is going to reform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they should carefully consider the impact of change on operational projects (or projects in late-stage development). This to ensure that sites are not adversely impacted by a change in this reform. We believe that some form of grandfathering would be needed to mitigate this impact.</w:t>
      </w:r>
    </w:p>
    <w:p w14:paraId="30D46BD6" w14:textId="75133E92" w:rsidR="0070527D" w:rsidRPr="000A48D0" w:rsidRDefault="00EA14FA" w:rsidP="000A48D0">
      <w:pPr>
        <w:pStyle w:val="NormalWeb"/>
        <w:numPr>
          <w:ilvl w:val="0"/>
          <w:numId w:val="15"/>
        </w:numPr>
        <w:spacing w:before="0" w:beforeAutospacing="0" w:after="0" w:afterAutospacing="0" w:line="276" w:lineRule="auto"/>
        <w:jc w:val="both"/>
        <w:rPr>
          <w:rFonts w:ascii="Arial" w:hAnsi="Arial" w:cs="Arial"/>
          <w:color w:val="000000"/>
          <w:sz w:val="20"/>
          <w:szCs w:val="20"/>
        </w:rPr>
      </w:pP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reforming timeline</w:t>
      </w:r>
    </w:p>
    <w:p w14:paraId="7E5451CF" w14:textId="03D36C43" w:rsidR="00EA14FA" w:rsidRPr="000A48D0" w:rsidRDefault="00EA14FA" w:rsidP="000A48D0">
      <w:pPr>
        <w:pStyle w:val="NormalWeb"/>
        <w:spacing w:before="0" w:beforeAutospacing="0" w:after="0" w:afterAutospacing="0" w:line="276" w:lineRule="auto"/>
        <w:ind w:left="720"/>
        <w:jc w:val="both"/>
        <w:rPr>
          <w:rFonts w:ascii="Arial" w:hAnsi="Arial" w:cs="Arial"/>
          <w:color w:val="000000"/>
          <w:sz w:val="20"/>
          <w:szCs w:val="20"/>
        </w:rPr>
      </w:pPr>
    </w:p>
    <w:p w14:paraId="019AA1AC" w14:textId="6B9DC486" w:rsidR="00E1345F" w:rsidRPr="000A48D0" w:rsidRDefault="00BF5AEC" w:rsidP="000A48D0">
      <w:pPr>
        <w:pStyle w:val="NormalWeb"/>
        <w:spacing w:before="0" w:beforeAutospacing="0" w:after="0" w:afterAutospacing="0" w:line="276" w:lineRule="auto"/>
        <w:jc w:val="both"/>
        <w:rPr>
          <w:rFonts w:ascii="Arial" w:hAnsi="Arial" w:cs="Arial"/>
          <w:sz w:val="20"/>
          <w:szCs w:val="20"/>
        </w:rPr>
      </w:pPr>
      <w:r w:rsidRPr="000A48D0">
        <w:rPr>
          <w:rFonts w:ascii="Arial" w:eastAsiaTheme="minorHAnsi" w:hAnsi="Arial" w:cs="Arial"/>
          <w:sz w:val="20"/>
          <w:szCs w:val="20"/>
          <w:lang w:eastAsia="en-US"/>
        </w:rPr>
        <w:t>Today, transmission</w:t>
      </w:r>
      <w:r w:rsidR="00FA7F73" w:rsidRPr="000A48D0">
        <w:rPr>
          <w:rFonts w:ascii="Arial" w:eastAsiaTheme="minorHAnsi" w:hAnsi="Arial" w:cs="Arial"/>
          <w:sz w:val="20"/>
          <w:szCs w:val="20"/>
          <w:lang w:eastAsia="en-US"/>
        </w:rPr>
        <w:t>-</w:t>
      </w:r>
      <w:r w:rsidRPr="000A48D0">
        <w:rPr>
          <w:rFonts w:ascii="Arial" w:eastAsiaTheme="minorHAnsi" w:hAnsi="Arial" w:cs="Arial"/>
          <w:sz w:val="20"/>
          <w:szCs w:val="20"/>
          <w:lang w:eastAsia="en-US"/>
        </w:rPr>
        <w:t xml:space="preserve">connected generators are already impacted by high </w:t>
      </w:r>
      <w:proofErr w:type="spellStart"/>
      <w:r w:rsidRPr="000A48D0">
        <w:rPr>
          <w:rFonts w:ascii="Arial" w:eastAsiaTheme="minorHAnsi" w:hAnsi="Arial" w:cs="Arial"/>
          <w:sz w:val="20"/>
          <w:szCs w:val="20"/>
          <w:lang w:eastAsia="en-US"/>
        </w:rPr>
        <w:t>TNUoS</w:t>
      </w:r>
      <w:proofErr w:type="spellEnd"/>
      <w:r w:rsidRPr="000A48D0">
        <w:rPr>
          <w:rFonts w:ascii="Arial" w:eastAsiaTheme="minorHAnsi" w:hAnsi="Arial" w:cs="Arial"/>
          <w:sz w:val="20"/>
          <w:szCs w:val="20"/>
          <w:lang w:eastAsia="en-US"/>
        </w:rPr>
        <w:t xml:space="preserve"> charges</w:t>
      </w:r>
      <w:r w:rsidR="00FA7F73" w:rsidRPr="000A48D0">
        <w:rPr>
          <w:rFonts w:ascii="Arial" w:eastAsiaTheme="minorHAnsi" w:hAnsi="Arial" w:cs="Arial"/>
          <w:sz w:val="20"/>
          <w:szCs w:val="20"/>
          <w:lang w:eastAsia="en-US"/>
        </w:rPr>
        <w:t>,</w:t>
      </w:r>
      <w:r w:rsidRPr="000A48D0">
        <w:rPr>
          <w:rFonts w:ascii="Arial" w:eastAsiaTheme="minorHAnsi" w:hAnsi="Arial" w:cs="Arial"/>
          <w:sz w:val="20"/>
          <w:szCs w:val="20"/>
          <w:lang w:eastAsia="en-US"/>
        </w:rPr>
        <w:t xml:space="preserve"> </w:t>
      </w:r>
      <w:r w:rsidR="00FA7F73" w:rsidRPr="000A48D0">
        <w:rPr>
          <w:rFonts w:ascii="Arial" w:eastAsiaTheme="minorHAnsi" w:hAnsi="Arial" w:cs="Arial"/>
          <w:sz w:val="20"/>
          <w:szCs w:val="20"/>
          <w:lang w:eastAsia="en-US"/>
        </w:rPr>
        <w:t>hence</w:t>
      </w:r>
      <w:r w:rsidRPr="000A48D0">
        <w:rPr>
          <w:rFonts w:ascii="Arial" w:eastAsiaTheme="minorHAnsi" w:hAnsi="Arial" w:cs="Arial"/>
          <w:sz w:val="20"/>
          <w:szCs w:val="20"/>
          <w:lang w:eastAsia="en-US"/>
        </w:rPr>
        <w:t xml:space="preserve"> a quick fix is needed</w:t>
      </w:r>
      <w:r w:rsidR="00415242" w:rsidRPr="000A48D0">
        <w:rPr>
          <w:rFonts w:ascii="Arial" w:eastAsiaTheme="minorHAnsi" w:hAnsi="Arial" w:cs="Arial"/>
          <w:sz w:val="20"/>
          <w:szCs w:val="20"/>
          <w:lang w:eastAsia="en-US"/>
        </w:rPr>
        <w:t xml:space="preserve"> to unlock this consented generation so investment can take place and sites can be constructed.</w:t>
      </w:r>
      <w:r w:rsidR="00BA40F9" w:rsidRPr="000A48D0">
        <w:rPr>
          <w:rFonts w:ascii="Arial" w:hAnsi="Arial" w:cs="Arial"/>
          <w:sz w:val="20"/>
          <w:szCs w:val="20"/>
        </w:rPr>
        <w:t xml:space="preserve"> </w:t>
      </w:r>
      <w:r w:rsidRPr="000A48D0">
        <w:rPr>
          <w:rFonts w:ascii="Arial" w:hAnsi="Arial" w:cs="Arial"/>
          <w:sz w:val="20"/>
          <w:szCs w:val="20"/>
        </w:rPr>
        <w:t>Th</w:t>
      </w:r>
      <w:r w:rsidR="00FB7B52" w:rsidRPr="000A48D0">
        <w:rPr>
          <w:rFonts w:ascii="Arial" w:hAnsi="Arial" w:cs="Arial"/>
          <w:sz w:val="20"/>
          <w:szCs w:val="20"/>
        </w:rPr>
        <w:t>e timeline that this reform could take</w:t>
      </w:r>
      <w:r w:rsidRPr="000A48D0">
        <w:rPr>
          <w:rFonts w:ascii="Arial" w:hAnsi="Arial" w:cs="Arial"/>
          <w:sz w:val="20"/>
          <w:szCs w:val="20"/>
        </w:rPr>
        <w:t xml:space="preserve"> creates ongoing uncertainty for developers and their investors, putting at risk the opportunity to deliver net zero at least cost. </w:t>
      </w:r>
      <w:r w:rsidR="003F0E99" w:rsidRPr="000A48D0">
        <w:rPr>
          <w:rFonts w:ascii="Arial" w:hAnsi="Arial" w:cs="Arial"/>
          <w:sz w:val="20"/>
          <w:szCs w:val="20"/>
        </w:rPr>
        <w:t xml:space="preserve">We believe that, in parallel, it will be essential to implement “quick fixes” which mitigate the mistakenly oversized locational signal in the immediate term, while </w:t>
      </w:r>
      <w:proofErr w:type="spellStart"/>
      <w:r w:rsidR="003F0E99" w:rsidRPr="000A48D0">
        <w:rPr>
          <w:rFonts w:ascii="Arial" w:hAnsi="Arial" w:cs="Arial"/>
          <w:sz w:val="20"/>
          <w:szCs w:val="20"/>
        </w:rPr>
        <w:t>TNUoS</w:t>
      </w:r>
      <w:proofErr w:type="spellEnd"/>
      <w:r w:rsidR="003F0E99" w:rsidRPr="000A48D0">
        <w:rPr>
          <w:rFonts w:ascii="Arial" w:hAnsi="Arial" w:cs="Arial"/>
          <w:sz w:val="20"/>
          <w:szCs w:val="20"/>
        </w:rPr>
        <w:t xml:space="preserve"> reform is being considered, to avoid sending the UK off-track from the deployment scale needed for a low-cost net zero pathway. Without such fixes, consumers will have to bear the additional costs of onerous delayed corrective action</w:t>
      </w:r>
    </w:p>
    <w:p w14:paraId="5D249FF9" w14:textId="77777777" w:rsidR="00BF5AEC" w:rsidRPr="000A48D0" w:rsidRDefault="00BF5AEC" w:rsidP="000A48D0">
      <w:pPr>
        <w:pStyle w:val="NormalWeb"/>
        <w:spacing w:before="0" w:beforeAutospacing="0" w:after="0" w:afterAutospacing="0" w:line="276" w:lineRule="auto"/>
        <w:jc w:val="both"/>
        <w:rPr>
          <w:rFonts w:ascii="Arial" w:hAnsi="Arial" w:cs="Arial"/>
          <w:b/>
          <w:bCs/>
          <w:color w:val="000000"/>
          <w:sz w:val="20"/>
          <w:szCs w:val="20"/>
        </w:rPr>
      </w:pPr>
    </w:p>
    <w:p w14:paraId="2281CE43" w14:textId="77777777" w:rsidR="00B62A52" w:rsidRPr="000A48D0" w:rsidRDefault="00B62A52" w:rsidP="000A48D0">
      <w:pPr>
        <w:autoSpaceDE w:val="0"/>
        <w:autoSpaceDN w:val="0"/>
        <w:adjustRightInd w:val="0"/>
        <w:spacing w:after="0"/>
        <w:jc w:val="both"/>
        <w:rPr>
          <w:rFonts w:ascii="Arial" w:eastAsia="Times New Roman" w:hAnsi="Arial" w:cs="Arial"/>
          <w:b/>
          <w:bCs/>
          <w:color w:val="000000"/>
          <w:sz w:val="20"/>
          <w:szCs w:val="20"/>
          <w:u w:val="single"/>
          <w:lang w:eastAsia="en-GB"/>
        </w:rPr>
      </w:pPr>
      <w:r w:rsidRPr="000A48D0">
        <w:rPr>
          <w:rFonts w:ascii="Arial" w:eastAsia="Times New Roman" w:hAnsi="Arial" w:cs="Arial"/>
          <w:b/>
          <w:bCs/>
          <w:color w:val="000000"/>
          <w:sz w:val="20"/>
          <w:szCs w:val="20"/>
          <w:u w:val="single"/>
          <w:lang w:eastAsia="en-GB"/>
        </w:rPr>
        <w:t xml:space="preserve">General question </w:t>
      </w:r>
    </w:p>
    <w:p w14:paraId="1C581E2C" w14:textId="0F22251C" w:rsidR="00B62A52" w:rsidRPr="000A48D0" w:rsidRDefault="00B62A52" w:rsidP="000A48D0">
      <w:pPr>
        <w:pStyle w:val="NormalWeb"/>
        <w:spacing w:before="0" w:beforeAutospacing="0" w:after="0" w:afterAutospacing="0" w:line="276" w:lineRule="auto"/>
        <w:jc w:val="both"/>
        <w:rPr>
          <w:rFonts w:ascii="Arial" w:hAnsi="Arial" w:cs="Arial"/>
          <w:b/>
          <w:bCs/>
          <w:sz w:val="20"/>
          <w:szCs w:val="20"/>
        </w:rPr>
      </w:pPr>
    </w:p>
    <w:p w14:paraId="2E9F3E7A" w14:textId="248A596B" w:rsidR="00B62A52" w:rsidRPr="000A48D0" w:rsidRDefault="00A94110" w:rsidP="000A48D0">
      <w:pPr>
        <w:autoSpaceDE w:val="0"/>
        <w:autoSpaceDN w:val="0"/>
        <w:adjustRightInd w:val="0"/>
        <w:spacing w:after="0"/>
        <w:jc w:val="both"/>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 xml:space="preserve">Question 7. </w:t>
      </w:r>
      <w:r w:rsidR="00B62A52" w:rsidRPr="000A48D0">
        <w:rPr>
          <w:rFonts w:ascii="Arial" w:eastAsia="Times New Roman" w:hAnsi="Arial" w:cs="Arial"/>
          <w:b/>
          <w:bCs/>
          <w:color w:val="000000"/>
          <w:sz w:val="20"/>
          <w:szCs w:val="20"/>
          <w:lang w:eastAsia="en-GB"/>
        </w:rPr>
        <w:t xml:space="preserve">Do you have any other information relevant to the subject matter of this consultation that we should consider in developing our proposals? </w:t>
      </w:r>
    </w:p>
    <w:p w14:paraId="2BF658BF" w14:textId="77777777" w:rsidR="00B62A52" w:rsidRPr="000A48D0" w:rsidRDefault="00B62A52" w:rsidP="000A48D0">
      <w:pPr>
        <w:pStyle w:val="NormalWeb"/>
        <w:spacing w:before="0" w:beforeAutospacing="0" w:after="0" w:afterAutospacing="0" w:line="276" w:lineRule="auto"/>
        <w:jc w:val="both"/>
        <w:rPr>
          <w:rFonts w:ascii="Arial" w:hAnsi="Arial" w:cs="Arial"/>
          <w:b/>
          <w:bCs/>
          <w:sz w:val="20"/>
          <w:szCs w:val="20"/>
        </w:rPr>
      </w:pPr>
    </w:p>
    <w:p w14:paraId="5DC97A48" w14:textId="29C3BE1F" w:rsidR="00D023EF" w:rsidRPr="00473DF5" w:rsidRDefault="009A43DA" w:rsidP="00473DF5">
      <w:pPr>
        <w:pStyle w:val="NormalWeb"/>
        <w:spacing w:before="0" w:beforeAutospacing="0" w:after="0" w:afterAutospacing="0" w:line="276" w:lineRule="auto"/>
        <w:jc w:val="both"/>
        <w:rPr>
          <w:rFonts w:ascii="Arial" w:hAnsi="Arial" w:cs="Arial"/>
          <w:sz w:val="20"/>
          <w:szCs w:val="20"/>
        </w:rPr>
      </w:pPr>
      <w:commentRangeStart w:id="4"/>
      <w:r w:rsidRPr="00A13DDC">
        <w:rPr>
          <w:rFonts w:ascii="Arial" w:hAnsi="Arial" w:cs="Arial"/>
          <w:sz w:val="20"/>
          <w:szCs w:val="20"/>
        </w:rPr>
        <w:lastRenderedPageBreak/>
        <w:t>Firstly, we</w:t>
      </w:r>
      <w:r w:rsidR="00D023EF" w:rsidRPr="00A13DDC">
        <w:rPr>
          <w:rFonts w:ascii="Arial" w:hAnsi="Arial" w:cs="Arial"/>
          <w:sz w:val="20"/>
          <w:szCs w:val="20"/>
        </w:rPr>
        <w:t xml:space="preserve"> believe that Ofgem can make </w:t>
      </w:r>
      <w:proofErr w:type="spellStart"/>
      <w:r w:rsidR="00D023EF" w:rsidRPr="00A13DDC">
        <w:rPr>
          <w:rFonts w:ascii="Arial" w:hAnsi="Arial" w:cs="Arial"/>
          <w:sz w:val="20"/>
          <w:szCs w:val="20"/>
        </w:rPr>
        <w:t>TNUoS</w:t>
      </w:r>
      <w:proofErr w:type="spellEnd"/>
      <w:r w:rsidR="00D023EF" w:rsidRPr="00A13DDC">
        <w:rPr>
          <w:rFonts w:ascii="Arial" w:hAnsi="Arial" w:cs="Arial"/>
          <w:sz w:val="20"/>
          <w:szCs w:val="20"/>
        </w:rPr>
        <w:t xml:space="preserve"> savings through increased competition for TOs and DNOs </w:t>
      </w:r>
      <w:r w:rsidRPr="00A13DDC">
        <w:rPr>
          <w:rFonts w:ascii="Arial" w:hAnsi="Arial" w:cs="Arial"/>
          <w:sz w:val="20"/>
          <w:szCs w:val="20"/>
        </w:rPr>
        <w:t>b</w:t>
      </w:r>
      <w:r w:rsidR="00D023EF" w:rsidRPr="00A13DDC">
        <w:rPr>
          <w:rFonts w:ascii="Arial" w:hAnsi="Arial" w:cs="Arial"/>
          <w:sz w:val="20"/>
          <w:szCs w:val="20"/>
        </w:rPr>
        <w:t>y increasing the number of parties that can deliver works across each region</w:t>
      </w:r>
      <w:r w:rsidRPr="00A13DDC">
        <w:rPr>
          <w:rFonts w:ascii="Arial" w:hAnsi="Arial" w:cs="Arial"/>
          <w:sz w:val="20"/>
          <w:szCs w:val="20"/>
        </w:rPr>
        <w:t>.</w:t>
      </w:r>
      <w:r w:rsidR="00D023EF" w:rsidRPr="00A13DDC">
        <w:rPr>
          <w:rFonts w:ascii="Arial" w:hAnsi="Arial" w:cs="Arial"/>
          <w:sz w:val="20"/>
          <w:szCs w:val="20"/>
        </w:rPr>
        <w:t xml:space="preserve"> </w:t>
      </w:r>
      <w:r w:rsidRPr="00A13DDC">
        <w:rPr>
          <w:rFonts w:ascii="Arial" w:hAnsi="Arial" w:cs="Arial"/>
          <w:sz w:val="20"/>
          <w:szCs w:val="20"/>
        </w:rPr>
        <w:t>T</w:t>
      </w:r>
      <w:r w:rsidR="00D023EF" w:rsidRPr="00A13DDC">
        <w:rPr>
          <w:rFonts w:ascii="Arial" w:hAnsi="Arial" w:cs="Arial"/>
          <w:sz w:val="20"/>
          <w:szCs w:val="20"/>
        </w:rPr>
        <w:t>his will reduce costs and improve programme timelines.</w:t>
      </w:r>
      <w:r w:rsidRPr="00A13DDC">
        <w:rPr>
          <w:rFonts w:ascii="Arial" w:hAnsi="Arial" w:cs="Arial"/>
          <w:sz w:val="20"/>
          <w:szCs w:val="20"/>
        </w:rPr>
        <w:t xml:space="preserve"> Some </w:t>
      </w:r>
      <w:r w:rsidR="00B670ED" w:rsidRPr="00A13DDC">
        <w:rPr>
          <w:rFonts w:ascii="Arial" w:hAnsi="Arial" w:cs="Arial"/>
          <w:sz w:val="20"/>
          <w:szCs w:val="20"/>
        </w:rPr>
        <w:t>DNOs</w:t>
      </w:r>
      <w:r w:rsidRPr="00A13DDC">
        <w:rPr>
          <w:rFonts w:ascii="Arial" w:hAnsi="Arial" w:cs="Arial"/>
          <w:sz w:val="20"/>
          <w:szCs w:val="20"/>
        </w:rPr>
        <w:t xml:space="preserve"> </w:t>
      </w:r>
      <w:r w:rsidR="00D023EF" w:rsidRPr="00A13DDC">
        <w:rPr>
          <w:rFonts w:ascii="Arial" w:hAnsi="Arial" w:cs="Arial"/>
          <w:sz w:val="20"/>
          <w:szCs w:val="20"/>
        </w:rPr>
        <w:t xml:space="preserve">are repeatedly given unjustifiably long programmes and high connection charges for </w:t>
      </w:r>
      <w:r w:rsidRPr="00A13DDC">
        <w:rPr>
          <w:rFonts w:ascii="Arial" w:hAnsi="Arial" w:cs="Arial"/>
          <w:sz w:val="20"/>
          <w:szCs w:val="20"/>
        </w:rPr>
        <w:t>their</w:t>
      </w:r>
      <w:r w:rsidR="00D023EF" w:rsidRPr="00A13DDC">
        <w:rPr>
          <w:rFonts w:ascii="Arial" w:hAnsi="Arial" w:cs="Arial"/>
          <w:sz w:val="20"/>
          <w:szCs w:val="20"/>
        </w:rPr>
        <w:t xml:space="preserve"> </w:t>
      </w:r>
      <w:r w:rsidR="00B670ED" w:rsidRPr="00A13DDC">
        <w:rPr>
          <w:rFonts w:ascii="Arial" w:hAnsi="Arial" w:cs="Arial"/>
          <w:sz w:val="20"/>
          <w:szCs w:val="20"/>
        </w:rPr>
        <w:t>projects, and t</w:t>
      </w:r>
      <w:r w:rsidR="00D023EF" w:rsidRPr="00A13DDC">
        <w:rPr>
          <w:rFonts w:ascii="Arial" w:hAnsi="Arial" w:cs="Arial"/>
          <w:sz w:val="20"/>
          <w:szCs w:val="20"/>
        </w:rPr>
        <w:t xml:space="preserve">his won’t change while TOs have a monopoly on the connection offer process. Therefore, we would like this solution to be </w:t>
      </w:r>
      <w:r w:rsidR="002D22AA" w:rsidRPr="00A13DDC">
        <w:rPr>
          <w:rFonts w:ascii="Arial" w:hAnsi="Arial" w:cs="Arial"/>
          <w:sz w:val="20"/>
          <w:szCs w:val="20"/>
        </w:rPr>
        <w:t>considered in Ofgem proposals.</w:t>
      </w:r>
      <w:commentRangeEnd w:id="4"/>
      <w:r w:rsidR="000A48D0" w:rsidRPr="00A13DDC">
        <w:rPr>
          <w:rStyle w:val="CommentReference"/>
          <w:rFonts w:ascii="Arial" w:eastAsiaTheme="minorHAnsi" w:hAnsi="Arial" w:cs="Arial"/>
          <w:sz w:val="20"/>
          <w:szCs w:val="20"/>
          <w:lang w:eastAsia="en-US"/>
        </w:rPr>
        <w:commentReference w:id="4"/>
      </w:r>
    </w:p>
    <w:p w14:paraId="5D830634" w14:textId="77777777" w:rsidR="00D023EF" w:rsidRPr="000A48D0" w:rsidRDefault="00D023EF" w:rsidP="000A48D0">
      <w:pPr>
        <w:pStyle w:val="NormalWeb"/>
        <w:spacing w:before="0" w:beforeAutospacing="0" w:after="0" w:afterAutospacing="0" w:line="276" w:lineRule="auto"/>
        <w:jc w:val="both"/>
        <w:rPr>
          <w:rFonts w:ascii="Arial" w:hAnsi="Arial" w:cs="Arial"/>
          <w:sz w:val="20"/>
          <w:szCs w:val="20"/>
        </w:rPr>
      </w:pPr>
    </w:p>
    <w:p w14:paraId="16E43552" w14:textId="0E3905A7" w:rsidR="0001365C" w:rsidRPr="000A48D0" w:rsidRDefault="00B670ED" w:rsidP="000A48D0">
      <w:pPr>
        <w:pStyle w:val="NormalWeb"/>
        <w:spacing w:before="0" w:beforeAutospacing="0" w:after="0" w:afterAutospacing="0" w:line="276" w:lineRule="auto"/>
        <w:jc w:val="both"/>
        <w:rPr>
          <w:rFonts w:ascii="Arial" w:hAnsi="Arial" w:cs="Arial"/>
          <w:sz w:val="20"/>
          <w:szCs w:val="20"/>
        </w:rPr>
      </w:pPr>
      <w:r w:rsidRPr="000A48D0">
        <w:rPr>
          <w:rFonts w:ascii="Arial" w:hAnsi="Arial" w:cs="Arial"/>
          <w:sz w:val="20"/>
          <w:szCs w:val="20"/>
        </w:rPr>
        <w:t>Secondly, w</w:t>
      </w:r>
      <w:r w:rsidR="00E1345F" w:rsidRPr="000A48D0">
        <w:rPr>
          <w:rFonts w:ascii="Arial" w:hAnsi="Arial" w:cs="Arial"/>
          <w:sz w:val="20"/>
          <w:szCs w:val="20"/>
        </w:rPr>
        <w:t>e</w:t>
      </w:r>
      <w:r w:rsidR="00A85465" w:rsidRPr="000A48D0">
        <w:rPr>
          <w:rFonts w:ascii="Arial" w:hAnsi="Arial" w:cs="Arial"/>
          <w:sz w:val="20"/>
          <w:szCs w:val="20"/>
        </w:rPr>
        <w:t xml:space="preserve"> would like to highlight the key reasons </w:t>
      </w:r>
      <w:r w:rsidR="00964BED" w:rsidRPr="000A48D0">
        <w:rPr>
          <w:rFonts w:ascii="Arial" w:hAnsi="Arial" w:cs="Arial"/>
          <w:sz w:val="20"/>
          <w:szCs w:val="20"/>
        </w:rPr>
        <w:t xml:space="preserve">why </w:t>
      </w:r>
      <w:r w:rsidR="00A85465" w:rsidRPr="000A48D0">
        <w:rPr>
          <w:rFonts w:ascii="Arial" w:hAnsi="Arial" w:cs="Arial"/>
          <w:sz w:val="20"/>
          <w:szCs w:val="20"/>
        </w:rPr>
        <w:t xml:space="preserve">the current </w:t>
      </w:r>
      <w:proofErr w:type="spellStart"/>
      <w:r w:rsidR="00A85465" w:rsidRPr="000A48D0">
        <w:rPr>
          <w:rFonts w:ascii="Arial" w:hAnsi="Arial" w:cs="Arial"/>
          <w:sz w:val="20"/>
          <w:szCs w:val="20"/>
        </w:rPr>
        <w:t>TNUoS</w:t>
      </w:r>
      <w:proofErr w:type="spellEnd"/>
      <w:r w:rsidR="00A85465" w:rsidRPr="000A48D0">
        <w:rPr>
          <w:rFonts w:ascii="Arial" w:hAnsi="Arial" w:cs="Arial"/>
          <w:sz w:val="20"/>
          <w:szCs w:val="20"/>
        </w:rPr>
        <w:t xml:space="preserve"> regime </w:t>
      </w:r>
      <w:r w:rsidR="007803F9" w:rsidRPr="000A48D0">
        <w:rPr>
          <w:rFonts w:ascii="Arial" w:hAnsi="Arial" w:cs="Arial"/>
          <w:sz w:val="20"/>
          <w:szCs w:val="20"/>
        </w:rPr>
        <w:t>is</w:t>
      </w:r>
      <w:r w:rsidR="00A85465" w:rsidRPr="000A48D0">
        <w:rPr>
          <w:rFonts w:ascii="Arial" w:hAnsi="Arial" w:cs="Arial"/>
          <w:sz w:val="20"/>
          <w:szCs w:val="20"/>
        </w:rPr>
        <w:t xml:space="preserve"> not fit for purpose </w:t>
      </w:r>
      <w:r w:rsidR="00964BED" w:rsidRPr="000A48D0">
        <w:rPr>
          <w:rFonts w:ascii="Arial" w:hAnsi="Arial" w:cs="Arial"/>
          <w:sz w:val="20"/>
          <w:szCs w:val="20"/>
        </w:rPr>
        <w:t xml:space="preserve">and why </w:t>
      </w:r>
      <w:r w:rsidR="007803F9" w:rsidRPr="000A48D0">
        <w:rPr>
          <w:rFonts w:ascii="Arial" w:hAnsi="Arial" w:cs="Arial"/>
          <w:sz w:val="20"/>
          <w:szCs w:val="20"/>
        </w:rPr>
        <w:t xml:space="preserve">urgent action </w:t>
      </w:r>
      <w:r w:rsidR="00964BED" w:rsidRPr="000A48D0">
        <w:rPr>
          <w:rFonts w:ascii="Arial" w:hAnsi="Arial" w:cs="Arial"/>
          <w:sz w:val="20"/>
          <w:szCs w:val="20"/>
        </w:rPr>
        <w:t>is needed to change it</w:t>
      </w:r>
      <w:r w:rsidR="005B5385" w:rsidRPr="000A48D0">
        <w:rPr>
          <w:rFonts w:ascii="Arial" w:hAnsi="Arial" w:cs="Arial"/>
          <w:sz w:val="20"/>
          <w:szCs w:val="20"/>
        </w:rPr>
        <w:t>.</w:t>
      </w:r>
      <w:r w:rsidR="00E80729" w:rsidRPr="000A48D0">
        <w:rPr>
          <w:rFonts w:ascii="Arial" w:hAnsi="Arial" w:cs="Arial"/>
          <w:sz w:val="20"/>
          <w:szCs w:val="20"/>
        </w:rPr>
        <w:t xml:space="preserve"> </w:t>
      </w:r>
      <w:r w:rsidR="005B5385" w:rsidRPr="000A48D0">
        <w:rPr>
          <w:rFonts w:ascii="Arial" w:hAnsi="Arial" w:cs="Arial"/>
          <w:sz w:val="20"/>
          <w:szCs w:val="20"/>
        </w:rPr>
        <w:t>Overall, w</w:t>
      </w:r>
      <w:r w:rsidR="00C526F2" w:rsidRPr="000A48D0">
        <w:rPr>
          <w:rFonts w:ascii="Arial" w:hAnsi="Arial" w:cs="Arial"/>
          <w:sz w:val="20"/>
          <w:szCs w:val="20"/>
        </w:rPr>
        <w:t xml:space="preserve">e believe that regulation should move forward at </w:t>
      </w:r>
      <w:r w:rsidR="005B5385" w:rsidRPr="000A48D0">
        <w:rPr>
          <w:rFonts w:ascii="Arial" w:hAnsi="Arial" w:cs="Arial"/>
          <w:sz w:val="20"/>
          <w:szCs w:val="20"/>
        </w:rPr>
        <w:t xml:space="preserve">a </w:t>
      </w:r>
      <w:r w:rsidR="00C526F2" w:rsidRPr="000A48D0">
        <w:rPr>
          <w:rFonts w:ascii="Arial" w:hAnsi="Arial" w:cs="Arial"/>
          <w:sz w:val="20"/>
          <w:szCs w:val="20"/>
        </w:rPr>
        <w:t>pace to facilitate the deliveries of government commitments</w:t>
      </w:r>
      <w:r w:rsidR="0001365C" w:rsidRPr="000A48D0">
        <w:rPr>
          <w:rFonts w:ascii="Arial" w:hAnsi="Arial" w:cs="Arial"/>
          <w:sz w:val="20"/>
          <w:szCs w:val="20"/>
        </w:rPr>
        <w:t xml:space="preserve"> as efficient as possible,</w:t>
      </w:r>
      <w:r w:rsidR="00C526F2" w:rsidRPr="000A48D0">
        <w:rPr>
          <w:rFonts w:ascii="Arial" w:hAnsi="Arial" w:cs="Arial"/>
          <w:sz w:val="20"/>
          <w:szCs w:val="20"/>
        </w:rPr>
        <w:t xml:space="preserve"> and it should not constrai</w:t>
      </w:r>
      <w:r w:rsidR="007803F9" w:rsidRPr="000A48D0">
        <w:rPr>
          <w:rFonts w:ascii="Arial" w:hAnsi="Arial" w:cs="Arial"/>
          <w:sz w:val="20"/>
          <w:szCs w:val="20"/>
        </w:rPr>
        <w:t>n</w:t>
      </w:r>
      <w:r w:rsidR="00C526F2" w:rsidRPr="000A48D0">
        <w:rPr>
          <w:rFonts w:ascii="Arial" w:hAnsi="Arial" w:cs="Arial"/>
          <w:sz w:val="20"/>
          <w:szCs w:val="20"/>
        </w:rPr>
        <w:t xml:space="preserve"> those in any </w:t>
      </w:r>
      <w:r w:rsidR="00FC516F" w:rsidRPr="000A48D0">
        <w:rPr>
          <w:rFonts w:ascii="Arial" w:hAnsi="Arial" w:cs="Arial"/>
          <w:sz w:val="20"/>
          <w:szCs w:val="20"/>
        </w:rPr>
        <w:t>way</w:t>
      </w:r>
      <w:r w:rsidR="00C526F2" w:rsidRPr="000A48D0">
        <w:rPr>
          <w:rFonts w:ascii="Arial" w:hAnsi="Arial" w:cs="Arial"/>
          <w:sz w:val="20"/>
          <w:szCs w:val="20"/>
        </w:rPr>
        <w:t>.</w:t>
      </w:r>
      <w:r w:rsidR="005B5385" w:rsidRPr="000A48D0">
        <w:rPr>
          <w:rFonts w:ascii="Arial" w:hAnsi="Arial" w:cs="Arial"/>
          <w:sz w:val="20"/>
          <w:szCs w:val="20"/>
        </w:rPr>
        <w:t xml:space="preserve"> </w:t>
      </w:r>
      <w:r w:rsidR="00E80729" w:rsidRPr="000A48D0">
        <w:rPr>
          <w:rFonts w:ascii="Arial" w:hAnsi="Arial" w:cs="Arial"/>
          <w:sz w:val="20"/>
          <w:szCs w:val="20"/>
        </w:rPr>
        <w:t xml:space="preserve">Below, we provide the key grounds that are the basis to change the current </w:t>
      </w:r>
      <w:proofErr w:type="spellStart"/>
      <w:r w:rsidR="00E80729" w:rsidRPr="000A48D0">
        <w:rPr>
          <w:rFonts w:ascii="Arial" w:hAnsi="Arial" w:cs="Arial"/>
          <w:sz w:val="20"/>
          <w:szCs w:val="20"/>
        </w:rPr>
        <w:t>TNUoS</w:t>
      </w:r>
      <w:proofErr w:type="spellEnd"/>
      <w:r w:rsidR="00E80729" w:rsidRPr="000A48D0">
        <w:rPr>
          <w:rFonts w:ascii="Arial" w:hAnsi="Arial" w:cs="Arial"/>
          <w:sz w:val="20"/>
          <w:szCs w:val="20"/>
        </w:rPr>
        <w:t xml:space="preserve"> regime</w:t>
      </w:r>
      <w:r w:rsidR="0001365C" w:rsidRPr="000A48D0">
        <w:rPr>
          <w:rFonts w:ascii="Arial" w:hAnsi="Arial" w:cs="Arial"/>
          <w:sz w:val="20"/>
          <w:szCs w:val="20"/>
        </w:rPr>
        <w:t>.</w:t>
      </w:r>
    </w:p>
    <w:p w14:paraId="3688B508" w14:textId="77777777" w:rsidR="00D42814" w:rsidRPr="000A48D0" w:rsidRDefault="00D42814" w:rsidP="000A48D0">
      <w:pPr>
        <w:pStyle w:val="NormalWeb"/>
        <w:spacing w:before="0" w:beforeAutospacing="0" w:after="0" w:afterAutospacing="0" w:line="276" w:lineRule="auto"/>
        <w:jc w:val="both"/>
        <w:rPr>
          <w:rFonts w:ascii="Arial" w:hAnsi="Arial" w:cs="Arial"/>
          <w:sz w:val="20"/>
          <w:szCs w:val="20"/>
        </w:rPr>
      </w:pPr>
    </w:p>
    <w:p w14:paraId="60D2C4C5" w14:textId="77522074" w:rsidR="004768F3" w:rsidRPr="000A48D0" w:rsidRDefault="004768F3" w:rsidP="000A48D0">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sidRPr="000A48D0">
        <w:rPr>
          <w:rFonts w:ascii="Arial" w:hAnsi="Arial" w:cs="Arial"/>
          <w:sz w:val="20"/>
          <w:szCs w:val="20"/>
        </w:rPr>
        <w:t>TNUoS</w:t>
      </w:r>
      <w:proofErr w:type="spellEnd"/>
      <w:r w:rsidRPr="000A48D0">
        <w:rPr>
          <w:rFonts w:ascii="Arial" w:hAnsi="Arial" w:cs="Arial"/>
          <w:sz w:val="20"/>
          <w:szCs w:val="20"/>
        </w:rPr>
        <w:t xml:space="preserve"> no longer does what it was designed to do</w:t>
      </w:r>
    </w:p>
    <w:p w14:paraId="4984C56F" w14:textId="71228E56" w:rsidR="00781C8E" w:rsidRPr="000A48D0" w:rsidRDefault="00781C8E" w:rsidP="000A48D0">
      <w:pPr>
        <w:pStyle w:val="NormalWeb"/>
        <w:spacing w:after="0" w:line="276" w:lineRule="auto"/>
        <w:jc w:val="both"/>
        <w:rPr>
          <w:rFonts w:ascii="Arial" w:hAnsi="Arial" w:cs="Arial"/>
          <w:sz w:val="20"/>
          <w:szCs w:val="20"/>
        </w:rPr>
      </w:pPr>
      <w:r w:rsidRPr="000A48D0">
        <w:rPr>
          <w:rFonts w:ascii="Arial" w:hAnsi="Arial" w:cs="Arial"/>
          <w:sz w:val="20"/>
          <w:szCs w:val="20"/>
        </w:rPr>
        <w:t xml:space="preserve">Back in 1992, the charging system was designed to provide clear signals to the energy market to incentivise developers to build fossil fuel power stations close to demand. Today, as we move to a smart, decentralised </w:t>
      </w:r>
      <w:r w:rsidR="00FA24C2" w:rsidRPr="000A48D0">
        <w:rPr>
          <w:rFonts w:ascii="Arial" w:hAnsi="Arial" w:cs="Arial"/>
          <w:sz w:val="20"/>
          <w:szCs w:val="20"/>
        </w:rPr>
        <w:t xml:space="preserve">and </w:t>
      </w:r>
      <w:r w:rsidRPr="000A48D0">
        <w:rPr>
          <w:rFonts w:ascii="Arial" w:hAnsi="Arial" w:cs="Arial"/>
          <w:sz w:val="20"/>
          <w:szCs w:val="20"/>
        </w:rPr>
        <w:t>more decarbonised energy system</w:t>
      </w:r>
      <w:r w:rsidR="00FA24C2" w:rsidRPr="000A48D0">
        <w:rPr>
          <w:rFonts w:ascii="Arial" w:hAnsi="Arial" w:cs="Arial"/>
          <w:sz w:val="20"/>
          <w:szCs w:val="20"/>
        </w:rPr>
        <w:t>,</w:t>
      </w:r>
      <w:r w:rsidRPr="000A48D0">
        <w:rPr>
          <w:rFonts w:ascii="Arial" w:hAnsi="Arial" w:cs="Arial"/>
          <w:sz w:val="20"/>
          <w:szCs w:val="20"/>
        </w:rPr>
        <w:t xml:space="preserve"> </w:t>
      </w:r>
      <w:r w:rsidR="00FA24C2" w:rsidRPr="000A48D0">
        <w:rPr>
          <w:rFonts w:ascii="Arial" w:hAnsi="Arial" w:cs="Arial"/>
          <w:sz w:val="20"/>
          <w:szCs w:val="20"/>
        </w:rPr>
        <w:t xml:space="preserve">a </w:t>
      </w:r>
      <w:r w:rsidRPr="000A48D0">
        <w:rPr>
          <w:rFonts w:ascii="Arial" w:hAnsi="Arial" w:cs="Arial"/>
          <w:sz w:val="20"/>
          <w:szCs w:val="20"/>
        </w:rPr>
        <w:t xml:space="preserve">fairer system which balances the strengths of different parts of </w:t>
      </w:r>
      <w:r w:rsidR="0073111A" w:rsidRPr="000A48D0">
        <w:rPr>
          <w:rFonts w:ascii="Arial" w:hAnsi="Arial" w:cs="Arial"/>
          <w:sz w:val="20"/>
          <w:szCs w:val="20"/>
        </w:rPr>
        <w:t>the UK</w:t>
      </w:r>
      <w:r w:rsidRPr="000A48D0">
        <w:rPr>
          <w:rFonts w:ascii="Arial" w:hAnsi="Arial" w:cs="Arial"/>
          <w:sz w:val="20"/>
          <w:szCs w:val="20"/>
        </w:rPr>
        <w:t xml:space="preserve"> is needed.</w:t>
      </w:r>
    </w:p>
    <w:p w14:paraId="0C546DC2" w14:textId="4F938DA4" w:rsidR="00FA24C2" w:rsidRPr="000A48D0" w:rsidRDefault="00AE09B0" w:rsidP="000A48D0">
      <w:pPr>
        <w:jc w:val="both"/>
        <w:rPr>
          <w:rFonts w:ascii="Arial" w:hAnsi="Arial" w:cs="Arial"/>
          <w:sz w:val="20"/>
          <w:szCs w:val="20"/>
        </w:rPr>
      </w:pPr>
      <w:r w:rsidRPr="000A48D0">
        <w:rPr>
          <w:rFonts w:ascii="Arial" w:hAnsi="Arial" w:cs="Arial"/>
          <w:sz w:val="20"/>
          <w:szCs w:val="20"/>
        </w:rPr>
        <w:t xml:space="preserve">The renewables industry has led rapid cost reduction over the last decade, with developers reducing the costs at every stage from finance and procurement to design and delivery. However,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is a cost that developers cannot control. This means that as the cost of a unit of renewable electricity has come down, the proportion of that cost represented by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has gone up significantly. This is in combination with a predicted substantial rise in transmission charges over the next five years, with the differential between northern and southern projects also amplifying.</w:t>
      </w:r>
      <w:r w:rsidR="00FA24C2" w:rsidRPr="000A48D0">
        <w:rPr>
          <w:rFonts w:ascii="Arial" w:hAnsi="Arial" w:cs="Arial"/>
          <w:sz w:val="20"/>
          <w:szCs w:val="20"/>
        </w:rPr>
        <w:t xml:space="preserve"> </w:t>
      </w:r>
      <w:r w:rsidR="00ED4900" w:rsidRPr="000A48D0">
        <w:rPr>
          <w:rFonts w:ascii="Arial" w:hAnsi="Arial" w:cs="Arial"/>
          <w:sz w:val="20"/>
          <w:szCs w:val="20"/>
        </w:rPr>
        <w:t xml:space="preserve">According to a recent report by SSEN Transmission, a wind farm in the north of Scotland currently pays £5.50 per unit of energy as part of the locational </w:t>
      </w:r>
      <w:proofErr w:type="spellStart"/>
      <w:r w:rsidR="00ED4900" w:rsidRPr="000A48D0">
        <w:rPr>
          <w:rFonts w:ascii="Arial" w:hAnsi="Arial" w:cs="Arial"/>
          <w:sz w:val="20"/>
          <w:szCs w:val="20"/>
        </w:rPr>
        <w:t>TNUoS</w:t>
      </w:r>
      <w:proofErr w:type="spellEnd"/>
      <w:r w:rsidR="00ED4900" w:rsidRPr="000A48D0">
        <w:rPr>
          <w:rFonts w:ascii="Arial" w:hAnsi="Arial" w:cs="Arial"/>
          <w:sz w:val="20"/>
          <w:szCs w:val="20"/>
        </w:rPr>
        <w:t xml:space="preserve"> charges compared to an equivalent wind farm in Wales getting paid £2.80 per unit</w:t>
      </w:r>
      <w:r w:rsidR="00ED4900" w:rsidRPr="000A48D0">
        <w:rPr>
          <w:rStyle w:val="FootnoteReference"/>
          <w:rFonts w:ascii="Arial" w:hAnsi="Arial" w:cs="Arial"/>
          <w:sz w:val="20"/>
          <w:szCs w:val="20"/>
        </w:rPr>
        <w:footnoteReference w:id="6"/>
      </w:r>
      <w:r w:rsidR="00FA24C2" w:rsidRPr="000A48D0">
        <w:rPr>
          <w:rFonts w:ascii="Arial" w:hAnsi="Arial" w:cs="Arial"/>
          <w:sz w:val="20"/>
          <w:szCs w:val="20"/>
        </w:rPr>
        <w:t xml:space="preserve">. </w:t>
      </w:r>
      <w:r w:rsidR="00F33DA2" w:rsidRPr="000A48D0">
        <w:rPr>
          <w:rFonts w:ascii="Arial" w:hAnsi="Arial" w:cs="Arial"/>
          <w:sz w:val="20"/>
          <w:szCs w:val="20"/>
        </w:rPr>
        <w:t xml:space="preserve">This increased cost that </w:t>
      </w:r>
      <w:proofErr w:type="spellStart"/>
      <w:r w:rsidR="00F33DA2" w:rsidRPr="000A48D0">
        <w:rPr>
          <w:rFonts w:ascii="Arial" w:hAnsi="Arial" w:cs="Arial"/>
          <w:sz w:val="20"/>
          <w:szCs w:val="20"/>
        </w:rPr>
        <w:t>TNUoS</w:t>
      </w:r>
      <w:proofErr w:type="spellEnd"/>
      <w:r w:rsidR="00F33DA2" w:rsidRPr="000A48D0">
        <w:rPr>
          <w:rFonts w:ascii="Arial" w:hAnsi="Arial" w:cs="Arial"/>
          <w:sz w:val="20"/>
          <w:szCs w:val="20"/>
        </w:rPr>
        <w:t xml:space="preserve"> imposes makes Scottish projects uncompetitive, encouraging generators to install projects in the south of the UK</w:t>
      </w:r>
      <w:r w:rsidR="00A00392" w:rsidRPr="000A48D0">
        <w:rPr>
          <w:rFonts w:ascii="Arial" w:hAnsi="Arial" w:cs="Arial"/>
          <w:sz w:val="20"/>
          <w:szCs w:val="20"/>
        </w:rPr>
        <w:t xml:space="preserve"> without considering where the best renewable resources are located to deliver the lowest cost pathway to achieving net zero</w:t>
      </w:r>
      <w:r w:rsidR="00F33DA2" w:rsidRPr="000A48D0">
        <w:rPr>
          <w:rFonts w:ascii="Arial" w:hAnsi="Arial" w:cs="Arial"/>
          <w:sz w:val="20"/>
          <w:szCs w:val="20"/>
        </w:rPr>
        <w:t xml:space="preserve">. This system does not match the decentralised, </w:t>
      </w:r>
      <w:proofErr w:type="gramStart"/>
      <w:r w:rsidR="00F33DA2" w:rsidRPr="000A48D0">
        <w:rPr>
          <w:rFonts w:ascii="Arial" w:hAnsi="Arial" w:cs="Arial"/>
          <w:sz w:val="20"/>
          <w:szCs w:val="20"/>
        </w:rPr>
        <w:t>smart</w:t>
      </w:r>
      <w:proofErr w:type="gramEnd"/>
      <w:r w:rsidR="00F33DA2" w:rsidRPr="000A48D0">
        <w:rPr>
          <w:rFonts w:ascii="Arial" w:hAnsi="Arial" w:cs="Arial"/>
          <w:sz w:val="20"/>
          <w:szCs w:val="20"/>
        </w:rPr>
        <w:t xml:space="preserve"> and </w:t>
      </w:r>
      <w:r w:rsidR="001D1141" w:rsidRPr="000A48D0">
        <w:rPr>
          <w:rFonts w:ascii="Arial" w:hAnsi="Arial" w:cs="Arial"/>
          <w:sz w:val="20"/>
          <w:szCs w:val="20"/>
        </w:rPr>
        <w:t>decarbonised</w:t>
      </w:r>
      <w:r w:rsidR="00F33DA2" w:rsidRPr="000A48D0">
        <w:rPr>
          <w:rFonts w:ascii="Arial" w:hAnsi="Arial" w:cs="Arial"/>
          <w:sz w:val="20"/>
          <w:szCs w:val="20"/>
        </w:rPr>
        <w:t xml:space="preserve"> energy system of the future.</w:t>
      </w:r>
    </w:p>
    <w:p w14:paraId="20BD463A" w14:textId="77777777" w:rsidR="00781C8E" w:rsidRPr="000A48D0" w:rsidRDefault="00781C8E" w:rsidP="000A48D0">
      <w:pPr>
        <w:pStyle w:val="NormalWeb"/>
        <w:spacing w:before="0" w:beforeAutospacing="0" w:after="0" w:afterAutospacing="0" w:line="276" w:lineRule="auto"/>
        <w:jc w:val="both"/>
        <w:rPr>
          <w:rFonts w:ascii="Arial" w:hAnsi="Arial" w:cs="Arial"/>
          <w:sz w:val="20"/>
          <w:szCs w:val="20"/>
        </w:rPr>
      </w:pPr>
    </w:p>
    <w:p w14:paraId="463B04BC" w14:textId="6A53DD47" w:rsidR="004768F3" w:rsidRPr="00A13DDC" w:rsidRDefault="004768F3" w:rsidP="000A48D0">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sidRPr="00A13DDC">
        <w:rPr>
          <w:rFonts w:ascii="Arial" w:hAnsi="Arial" w:cs="Arial"/>
          <w:sz w:val="20"/>
          <w:szCs w:val="20"/>
        </w:rPr>
        <w:t>TNUoS</w:t>
      </w:r>
      <w:proofErr w:type="spellEnd"/>
      <w:r w:rsidRPr="00A13DDC">
        <w:rPr>
          <w:rFonts w:ascii="Arial" w:hAnsi="Arial" w:cs="Arial"/>
          <w:sz w:val="20"/>
          <w:szCs w:val="20"/>
        </w:rPr>
        <w:t xml:space="preserve"> is affecting consumer bills</w:t>
      </w:r>
    </w:p>
    <w:p w14:paraId="259E6D56" w14:textId="61291722" w:rsidR="002D109E" w:rsidRPr="00A13DDC" w:rsidRDefault="002D109E" w:rsidP="000A48D0">
      <w:pPr>
        <w:pStyle w:val="NormalWeb"/>
        <w:spacing w:before="0" w:beforeAutospacing="0" w:after="0" w:afterAutospacing="0" w:line="276" w:lineRule="auto"/>
        <w:jc w:val="both"/>
        <w:rPr>
          <w:rFonts w:ascii="Arial" w:hAnsi="Arial" w:cs="Arial"/>
          <w:sz w:val="20"/>
          <w:szCs w:val="20"/>
        </w:rPr>
      </w:pPr>
    </w:p>
    <w:p w14:paraId="00695536" w14:textId="7F2C472A" w:rsidR="00055AB2" w:rsidRPr="000A48D0" w:rsidRDefault="00055AB2" w:rsidP="000A48D0">
      <w:pPr>
        <w:pStyle w:val="NormalWeb"/>
        <w:spacing w:before="0" w:beforeAutospacing="0" w:after="0" w:afterAutospacing="0" w:line="276" w:lineRule="auto"/>
        <w:jc w:val="both"/>
        <w:rPr>
          <w:rFonts w:ascii="Arial" w:hAnsi="Arial" w:cs="Arial"/>
          <w:sz w:val="20"/>
          <w:szCs w:val="20"/>
        </w:rPr>
      </w:pPr>
      <w:proofErr w:type="spellStart"/>
      <w:r w:rsidRPr="00A13DDC">
        <w:rPr>
          <w:rFonts w:ascii="Arial" w:hAnsi="Arial" w:cs="Arial"/>
          <w:sz w:val="20"/>
          <w:szCs w:val="20"/>
        </w:rPr>
        <w:t>TNUoS</w:t>
      </w:r>
      <w:proofErr w:type="spellEnd"/>
      <w:r w:rsidRPr="00A13DDC">
        <w:rPr>
          <w:rFonts w:ascii="Arial" w:hAnsi="Arial" w:cs="Arial"/>
          <w:sz w:val="20"/>
          <w:szCs w:val="20"/>
        </w:rPr>
        <w:t xml:space="preserve"> volatility increase</w:t>
      </w:r>
      <w:r w:rsidR="00852329">
        <w:rPr>
          <w:rFonts w:ascii="Arial" w:hAnsi="Arial" w:cs="Arial"/>
          <w:sz w:val="20"/>
          <w:szCs w:val="20"/>
        </w:rPr>
        <w:t>s</w:t>
      </w:r>
      <w:r w:rsidRPr="00A13DDC">
        <w:rPr>
          <w:rFonts w:ascii="Arial" w:hAnsi="Arial" w:cs="Arial"/>
          <w:sz w:val="20"/>
          <w:szCs w:val="20"/>
        </w:rPr>
        <w:t xml:space="preserve"> the cost of capital of </w:t>
      </w:r>
      <w:proofErr w:type="gramStart"/>
      <w:r w:rsidRPr="00A13DDC">
        <w:rPr>
          <w:rFonts w:ascii="Arial" w:hAnsi="Arial" w:cs="Arial"/>
          <w:sz w:val="20"/>
          <w:szCs w:val="20"/>
        </w:rPr>
        <w:t>projects, and</w:t>
      </w:r>
      <w:proofErr w:type="gramEnd"/>
      <w:r w:rsidRPr="00A13DDC">
        <w:rPr>
          <w:rFonts w:ascii="Arial" w:hAnsi="Arial" w:cs="Arial"/>
          <w:sz w:val="20"/>
          <w:szCs w:val="20"/>
        </w:rPr>
        <w:t xml:space="preserve"> given the scale of investment in wind generation expected in the next years to meet the Government’s climate targets, this additional cost will ultimately be placed onto energy consumers to pay.</w:t>
      </w:r>
    </w:p>
    <w:p w14:paraId="0D6EBE9F" w14:textId="77777777" w:rsidR="00E36DEE" w:rsidRPr="000A48D0" w:rsidRDefault="00E36DEE" w:rsidP="000A48D0">
      <w:pPr>
        <w:pStyle w:val="NormalWeb"/>
        <w:spacing w:before="0" w:beforeAutospacing="0" w:after="0" w:afterAutospacing="0" w:line="276" w:lineRule="auto"/>
        <w:jc w:val="both"/>
        <w:rPr>
          <w:rFonts w:ascii="Arial" w:hAnsi="Arial" w:cs="Arial"/>
          <w:sz w:val="20"/>
          <w:szCs w:val="20"/>
        </w:rPr>
      </w:pPr>
    </w:p>
    <w:p w14:paraId="4C1DC70B" w14:textId="36E1BF25" w:rsidR="00AE09B0" w:rsidRPr="000A48D0" w:rsidRDefault="00AE09B0" w:rsidP="000A48D0">
      <w:pPr>
        <w:pStyle w:val="NormalWeb"/>
        <w:spacing w:before="0" w:beforeAutospacing="0" w:after="0" w:afterAutospacing="0" w:line="276" w:lineRule="auto"/>
        <w:jc w:val="both"/>
        <w:rPr>
          <w:rFonts w:ascii="Arial" w:hAnsi="Arial" w:cs="Arial"/>
          <w:sz w:val="20"/>
          <w:szCs w:val="20"/>
        </w:rPr>
      </w:pPr>
      <w:r w:rsidRPr="000A48D0">
        <w:rPr>
          <w:rFonts w:ascii="Arial" w:hAnsi="Arial" w:cs="Arial"/>
          <w:sz w:val="20"/>
          <w:szCs w:val="20"/>
        </w:rPr>
        <w:t xml:space="preserve">Along with amplified locational signals, volatile and unpredictable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charges are also harming renewable investment. In research conducted by SSEN Transmission they found:</w:t>
      </w:r>
    </w:p>
    <w:p w14:paraId="485030BC" w14:textId="1CBD9376" w:rsidR="00AE09B0" w:rsidRPr="000A48D0" w:rsidRDefault="00AE09B0" w:rsidP="000A48D0">
      <w:pPr>
        <w:pStyle w:val="NormalWeb"/>
        <w:numPr>
          <w:ilvl w:val="0"/>
          <w:numId w:val="18"/>
        </w:numPr>
        <w:spacing w:after="0" w:line="276" w:lineRule="auto"/>
        <w:ind w:left="426" w:hanging="284"/>
        <w:jc w:val="both"/>
        <w:rPr>
          <w:rFonts w:ascii="Arial" w:hAnsi="Arial" w:cs="Arial"/>
          <w:sz w:val="20"/>
          <w:szCs w:val="20"/>
        </w:rPr>
      </w:pPr>
      <w:r w:rsidRPr="000A48D0">
        <w:rPr>
          <w:rFonts w:ascii="Arial" w:hAnsi="Arial" w:cs="Arial"/>
          <w:sz w:val="20"/>
          <w:szCs w:val="20"/>
        </w:rPr>
        <w:t xml:space="preserve">Generators see swings in their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charges typically over 50% up or down each year. For the nine generators studied, year-on-year changes have been between </w:t>
      </w:r>
      <w:r w:rsidR="007803F9" w:rsidRPr="000A48D0">
        <w:rPr>
          <w:rFonts w:ascii="Arial" w:hAnsi="Arial" w:cs="Arial"/>
          <w:sz w:val="20"/>
          <w:szCs w:val="20"/>
        </w:rPr>
        <w:t>+</w:t>
      </w:r>
      <w:r w:rsidRPr="000A48D0">
        <w:rPr>
          <w:rFonts w:ascii="Arial" w:hAnsi="Arial" w:cs="Arial"/>
          <w:sz w:val="20"/>
          <w:szCs w:val="20"/>
        </w:rPr>
        <w:t xml:space="preserve">774% and </w:t>
      </w:r>
      <w:r w:rsidR="007803F9" w:rsidRPr="000A48D0">
        <w:rPr>
          <w:rFonts w:ascii="Arial" w:hAnsi="Arial" w:cs="Arial"/>
          <w:sz w:val="20"/>
          <w:szCs w:val="20"/>
        </w:rPr>
        <w:t>-</w:t>
      </w:r>
      <w:r w:rsidRPr="000A48D0">
        <w:rPr>
          <w:rFonts w:ascii="Arial" w:hAnsi="Arial" w:cs="Arial"/>
          <w:sz w:val="20"/>
          <w:szCs w:val="20"/>
        </w:rPr>
        <w:t>2090%</w:t>
      </w:r>
    </w:p>
    <w:p w14:paraId="510FA8F6" w14:textId="4D338B55" w:rsidR="00AE09B0" w:rsidRPr="000A48D0" w:rsidRDefault="00AE09B0" w:rsidP="000A48D0">
      <w:pPr>
        <w:pStyle w:val="NormalWeb"/>
        <w:numPr>
          <w:ilvl w:val="0"/>
          <w:numId w:val="18"/>
        </w:numPr>
        <w:spacing w:after="0" w:line="276" w:lineRule="auto"/>
        <w:ind w:left="426" w:hanging="284"/>
        <w:jc w:val="both"/>
        <w:rPr>
          <w:rFonts w:ascii="Arial" w:hAnsi="Arial" w:cs="Arial"/>
          <w:sz w:val="20"/>
          <w:szCs w:val="20"/>
        </w:rPr>
      </w:pPr>
      <w:r w:rsidRPr="000A48D0">
        <w:rPr>
          <w:rFonts w:ascii="Arial" w:hAnsi="Arial" w:cs="Arial"/>
          <w:sz w:val="20"/>
          <w:szCs w:val="20"/>
        </w:rPr>
        <w:t>Charges are unpredictable – Using National Grid’s own data, the average forecast error under-estimated the actual charge by one third.</w:t>
      </w:r>
    </w:p>
    <w:p w14:paraId="1C8B4164" w14:textId="745F0A3E" w:rsidR="00B206A8" w:rsidRPr="000A48D0" w:rsidRDefault="00AE09B0" w:rsidP="000A48D0">
      <w:pPr>
        <w:pStyle w:val="NormalWeb"/>
        <w:spacing w:before="0" w:beforeAutospacing="0" w:after="0" w:afterAutospacing="0" w:line="276" w:lineRule="auto"/>
        <w:jc w:val="both"/>
        <w:rPr>
          <w:rFonts w:ascii="Arial" w:hAnsi="Arial" w:cs="Arial"/>
          <w:sz w:val="20"/>
          <w:szCs w:val="20"/>
        </w:rPr>
      </w:pPr>
      <w:r w:rsidRPr="000A48D0">
        <w:rPr>
          <w:rFonts w:ascii="Arial" w:hAnsi="Arial" w:cs="Arial"/>
          <w:sz w:val="20"/>
          <w:szCs w:val="20"/>
        </w:rPr>
        <w:t xml:space="preserve">This volatility is in sharp contrast to the total </w:t>
      </w:r>
      <w:r w:rsidR="007803F9" w:rsidRPr="000A48D0">
        <w:rPr>
          <w:rFonts w:ascii="Arial" w:hAnsi="Arial" w:cs="Arial"/>
          <w:sz w:val="20"/>
          <w:szCs w:val="20"/>
        </w:rPr>
        <w:t xml:space="preserve">revenue </w:t>
      </w:r>
      <w:r w:rsidRPr="000A48D0">
        <w:rPr>
          <w:rFonts w:ascii="Arial" w:hAnsi="Arial" w:cs="Arial"/>
          <w:sz w:val="20"/>
          <w:szCs w:val="20"/>
        </w:rPr>
        <w:t xml:space="preserve">allowed of the TOs that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charges are set to recover. The cumulative allowed revenue of NGET, SPEN and SSEN Transmission has been stable, within </w:t>
      </w:r>
      <w:r w:rsidRPr="000A48D0">
        <w:rPr>
          <w:rFonts w:ascii="Arial" w:hAnsi="Arial" w:cs="Arial"/>
          <w:sz w:val="20"/>
          <w:szCs w:val="20"/>
        </w:rPr>
        <w:lastRenderedPageBreak/>
        <w:t xml:space="preserve">5% of £2.5 billion, over the past five years. Investors need cost certainty and clear, forecastable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when planning and delivering long-term investments at lowest cost of the UK consumer. We also note that price volatility is a significant challenge for operational sites, where projects have been built and financed at a specific point in time based on the best view of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These projects cannot react to changes in locational signals and therefore volatility in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costs simply adds risk to the projects. Volatility and unpredictability are not unique to Scotland but experienced by all generators regardless of technology or location. This uncertainty leads to increasing risk margins for developers, ultimately increasing costs that will be passed onto consumers.</w:t>
      </w:r>
    </w:p>
    <w:p w14:paraId="4C481696" w14:textId="77777777" w:rsidR="00AE09B0" w:rsidRPr="000A48D0" w:rsidRDefault="00AE09B0" w:rsidP="000A48D0">
      <w:pPr>
        <w:pStyle w:val="NormalWeb"/>
        <w:spacing w:before="0" w:beforeAutospacing="0" w:after="0" w:afterAutospacing="0" w:line="276" w:lineRule="auto"/>
        <w:jc w:val="both"/>
        <w:rPr>
          <w:rFonts w:ascii="Arial" w:hAnsi="Arial" w:cs="Arial"/>
          <w:sz w:val="20"/>
          <w:szCs w:val="20"/>
        </w:rPr>
      </w:pPr>
    </w:p>
    <w:p w14:paraId="57840D57" w14:textId="2E5CCE33" w:rsidR="004768F3" w:rsidRPr="000A48D0" w:rsidRDefault="004768F3" w:rsidP="000A48D0">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sidRPr="000A48D0">
        <w:rPr>
          <w:rFonts w:ascii="Arial" w:hAnsi="Arial" w:cs="Arial"/>
          <w:sz w:val="20"/>
          <w:szCs w:val="20"/>
        </w:rPr>
        <w:t>TNUoS</w:t>
      </w:r>
      <w:proofErr w:type="spellEnd"/>
      <w:r w:rsidRPr="000A48D0">
        <w:rPr>
          <w:rFonts w:ascii="Arial" w:hAnsi="Arial" w:cs="Arial"/>
          <w:sz w:val="20"/>
          <w:szCs w:val="20"/>
        </w:rPr>
        <w:t xml:space="preserve"> is no</w:t>
      </w:r>
      <w:r w:rsidR="004F5AC4" w:rsidRPr="000A48D0">
        <w:rPr>
          <w:rFonts w:ascii="Arial" w:hAnsi="Arial" w:cs="Arial"/>
          <w:sz w:val="20"/>
          <w:szCs w:val="20"/>
        </w:rPr>
        <w:t>t</w:t>
      </w:r>
      <w:r w:rsidRPr="000A48D0">
        <w:rPr>
          <w:rFonts w:ascii="Arial" w:hAnsi="Arial" w:cs="Arial"/>
          <w:sz w:val="20"/>
          <w:szCs w:val="20"/>
        </w:rPr>
        <w:t xml:space="preserve"> aligned with net zero</w:t>
      </w:r>
    </w:p>
    <w:p w14:paraId="501D8250" w14:textId="77777777" w:rsidR="006806AC" w:rsidRPr="000A48D0" w:rsidRDefault="006806AC" w:rsidP="000A48D0">
      <w:pPr>
        <w:pStyle w:val="NormalWeb"/>
        <w:spacing w:before="0" w:beforeAutospacing="0" w:after="0" w:afterAutospacing="0" w:line="276" w:lineRule="auto"/>
        <w:jc w:val="both"/>
        <w:rPr>
          <w:rFonts w:ascii="Arial" w:hAnsi="Arial" w:cs="Arial"/>
          <w:sz w:val="20"/>
          <w:szCs w:val="20"/>
        </w:rPr>
      </w:pPr>
    </w:p>
    <w:p w14:paraId="23827664" w14:textId="77777777" w:rsidR="006806AC" w:rsidRPr="000A48D0" w:rsidRDefault="006806AC" w:rsidP="000A48D0">
      <w:pPr>
        <w:pStyle w:val="NormalWeb"/>
        <w:spacing w:before="0" w:beforeAutospacing="0" w:after="0" w:afterAutospacing="0" w:line="276" w:lineRule="auto"/>
        <w:jc w:val="both"/>
        <w:rPr>
          <w:rFonts w:ascii="Arial" w:hAnsi="Arial" w:cs="Arial"/>
          <w:color w:val="000000"/>
          <w:sz w:val="20"/>
          <w:szCs w:val="20"/>
        </w:rPr>
      </w:pPr>
      <w:r w:rsidRPr="000A48D0">
        <w:rPr>
          <w:rFonts w:ascii="Arial" w:hAnsi="Arial" w:cs="Arial"/>
          <w:sz w:val="20"/>
          <w:szCs w:val="20"/>
        </w:rPr>
        <w:t xml:space="preserve">The current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regime is not fit for purpose </w:t>
      </w:r>
      <w:r w:rsidRPr="000A48D0">
        <w:rPr>
          <w:rFonts w:ascii="Arial" w:hAnsi="Arial" w:cs="Arial"/>
          <w:color w:val="000000"/>
          <w:sz w:val="20"/>
          <w:szCs w:val="20"/>
        </w:rPr>
        <w:t xml:space="preserve">to meet either the Scottish Government or UK Government’s net zero climate targets. The way that </w:t>
      </w:r>
      <w:proofErr w:type="spellStart"/>
      <w:r w:rsidRPr="000A48D0">
        <w:rPr>
          <w:rFonts w:ascii="Arial" w:hAnsi="Arial" w:cs="Arial"/>
          <w:color w:val="000000"/>
          <w:sz w:val="20"/>
          <w:szCs w:val="20"/>
        </w:rPr>
        <w:t>TNUoS</w:t>
      </w:r>
      <w:proofErr w:type="spellEnd"/>
      <w:r w:rsidRPr="000A48D0">
        <w:rPr>
          <w:rFonts w:ascii="Arial" w:hAnsi="Arial" w:cs="Arial"/>
          <w:color w:val="000000"/>
          <w:sz w:val="20"/>
          <w:szCs w:val="20"/>
        </w:rPr>
        <w:t xml:space="preserve"> is designed encourages generators to locate close to the demand. This was appropriate for a fossil fuel-based system but now leads to disproportional charges by location as we move to a renewables-based system. </w:t>
      </w:r>
    </w:p>
    <w:p w14:paraId="4CD7E879" w14:textId="77777777" w:rsidR="006806AC" w:rsidRPr="000A48D0" w:rsidRDefault="006806AC" w:rsidP="000A48D0">
      <w:pPr>
        <w:pStyle w:val="NormalWeb"/>
        <w:spacing w:before="0" w:beforeAutospacing="0" w:after="0" w:afterAutospacing="0" w:line="276" w:lineRule="auto"/>
        <w:ind w:left="426"/>
        <w:jc w:val="both"/>
        <w:rPr>
          <w:rFonts w:ascii="Arial" w:hAnsi="Arial" w:cs="Arial"/>
          <w:color w:val="000000"/>
          <w:sz w:val="20"/>
          <w:szCs w:val="20"/>
        </w:rPr>
      </w:pPr>
    </w:p>
    <w:p w14:paraId="60DDE098" w14:textId="11FE48BF" w:rsidR="00E36DEE" w:rsidRPr="000A48D0" w:rsidRDefault="00E36DEE" w:rsidP="000A48D0">
      <w:pPr>
        <w:pStyle w:val="NormalWeb"/>
        <w:spacing w:before="0" w:beforeAutospacing="0" w:after="0" w:afterAutospacing="0" w:line="276" w:lineRule="auto"/>
        <w:jc w:val="both"/>
        <w:rPr>
          <w:rFonts w:ascii="Arial" w:hAnsi="Arial" w:cs="Arial"/>
          <w:sz w:val="20"/>
          <w:szCs w:val="20"/>
        </w:rPr>
      </w:pPr>
      <w:r w:rsidRPr="000A48D0">
        <w:rPr>
          <w:rFonts w:ascii="Arial" w:hAnsi="Arial" w:cs="Arial"/>
          <w:sz w:val="20"/>
          <w:szCs w:val="20"/>
        </w:rPr>
        <w:t>The transmission charging methodology is a complex combination of factors that must now include the need to deliver net zero alongside other electricity system and policy goals. Without a rethink, we believe that the direction of travel in network charging could result in a major barrier to delivering net zero. As discussed previously, there is a strong case to review the transmission charging methodology to ensure that the development of renewables is not discouraged where resources are most abundant. The need for review is even more pronounced given the ongoing review and reform of the offshore transmission arrangements.</w:t>
      </w:r>
    </w:p>
    <w:p w14:paraId="0ADBFD42" w14:textId="10F0219D" w:rsidR="00A00392" w:rsidRPr="000A48D0" w:rsidRDefault="00A00392" w:rsidP="000A48D0">
      <w:pPr>
        <w:pStyle w:val="NormalWeb"/>
        <w:spacing w:after="0" w:line="276" w:lineRule="auto"/>
        <w:jc w:val="both"/>
        <w:rPr>
          <w:rFonts w:ascii="Arial" w:hAnsi="Arial" w:cs="Arial"/>
          <w:sz w:val="20"/>
          <w:szCs w:val="20"/>
        </w:rPr>
      </w:pPr>
      <w:r w:rsidRPr="000A48D0">
        <w:rPr>
          <w:rFonts w:ascii="Arial" w:hAnsi="Arial" w:cs="Arial"/>
          <w:sz w:val="20"/>
          <w:szCs w:val="20"/>
        </w:rPr>
        <w:t xml:space="preserve">To achieve our respective net-zero targets, we will need a steep increase in renewable energy installation by 2050 in all parts of the </w:t>
      </w:r>
      <w:r w:rsidR="0073111A" w:rsidRPr="000A48D0">
        <w:rPr>
          <w:rFonts w:ascii="Arial" w:hAnsi="Arial" w:cs="Arial"/>
          <w:sz w:val="20"/>
          <w:szCs w:val="20"/>
        </w:rPr>
        <w:t>UK</w:t>
      </w:r>
      <w:r w:rsidRPr="000A48D0">
        <w:rPr>
          <w:rFonts w:ascii="Arial" w:hAnsi="Arial" w:cs="Arial"/>
          <w:sz w:val="20"/>
          <w:szCs w:val="20"/>
        </w:rPr>
        <w:t xml:space="preserve">, not just the south. According to the Sixth Carbon </w:t>
      </w:r>
      <w:r w:rsidR="0073111A" w:rsidRPr="000A48D0">
        <w:rPr>
          <w:rFonts w:ascii="Arial" w:hAnsi="Arial" w:cs="Arial"/>
          <w:sz w:val="20"/>
          <w:szCs w:val="20"/>
        </w:rPr>
        <w:t>B</w:t>
      </w:r>
      <w:r w:rsidRPr="000A48D0">
        <w:rPr>
          <w:rFonts w:ascii="Arial" w:hAnsi="Arial" w:cs="Arial"/>
          <w:sz w:val="20"/>
          <w:szCs w:val="20"/>
        </w:rPr>
        <w:t xml:space="preserve">udget from the CCC, the renewable deployment by 2050 should be between 95 and 125GW of offshore wind, between 75 and 85GW of solar PV, and between 30 and 35GW of onshore wind. Scotland has the resources to supply a big proportion of this deployment, but with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disadvantaging Scottish projects in the </w:t>
      </w:r>
      <w:proofErr w:type="spellStart"/>
      <w:r w:rsidRPr="000A48D0">
        <w:rPr>
          <w:rFonts w:ascii="Arial" w:hAnsi="Arial" w:cs="Arial"/>
          <w:sz w:val="20"/>
          <w:szCs w:val="20"/>
        </w:rPr>
        <w:t>CfD</w:t>
      </w:r>
      <w:proofErr w:type="spellEnd"/>
      <w:r w:rsidRPr="000A48D0">
        <w:rPr>
          <w:rFonts w:ascii="Arial" w:hAnsi="Arial" w:cs="Arial"/>
          <w:sz w:val="20"/>
          <w:szCs w:val="20"/>
        </w:rPr>
        <w:t>, there is a risk these projects may not be built, reducing our ability to reach net-zero. It is important to move forward at pace with a strategic review about how best to use regulation to allow a proportional deployment of renewable energy across the whole UK.</w:t>
      </w:r>
    </w:p>
    <w:p w14:paraId="68552FA1" w14:textId="28978888" w:rsidR="004768F3" w:rsidRPr="000A48D0" w:rsidRDefault="00084F80" w:rsidP="000A48D0">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sidRPr="000A48D0">
        <w:rPr>
          <w:rFonts w:ascii="Arial" w:hAnsi="Arial" w:cs="Arial"/>
          <w:sz w:val="20"/>
          <w:szCs w:val="20"/>
        </w:rPr>
        <w:t>TN</w:t>
      </w:r>
      <w:r w:rsidR="00CA3CD0" w:rsidRPr="000A48D0">
        <w:rPr>
          <w:rFonts w:ascii="Arial" w:hAnsi="Arial" w:cs="Arial"/>
          <w:sz w:val="20"/>
          <w:szCs w:val="20"/>
        </w:rPr>
        <w:t>UoS</w:t>
      </w:r>
      <w:proofErr w:type="spellEnd"/>
      <w:r w:rsidRPr="000A48D0">
        <w:rPr>
          <w:rFonts w:ascii="Arial" w:hAnsi="Arial" w:cs="Arial"/>
          <w:sz w:val="20"/>
          <w:szCs w:val="20"/>
        </w:rPr>
        <w:t xml:space="preserve"> is harming Scotland’s economy </w:t>
      </w:r>
    </w:p>
    <w:p w14:paraId="54A93C25" w14:textId="7B75298F" w:rsidR="004768F3" w:rsidRPr="000A48D0" w:rsidRDefault="004768F3" w:rsidP="000A48D0">
      <w:pPr>
        <w:pStyle w:val="NormalWeb"/>
        <w:spacing w:before="0" w:beforeAutospacing="0" w:after="0" w:afterAutospacing="0" w:line="276" w:lineRule="auto"/>
        <w:jc w:val="both"/>
        <w:rPr>
          <w:rFonts w:ascii="Arial" w:hAnsi="Arial" w:cs="Arial"/>
          <w:sz w:val="20"/>
          <w:szCs w:val="20"/>
        </w:rPr>
      </w:pPr>
    </w:p>
    <w:p w14:paraId="397E04E5" w14:textId="02D3B260" w:rsidR="00473DF5" w:rsidRDefault="00A61ECE" w:rsidP="000A48D0">
      <w:pPr>
        <w:pStyle w:val="NormalWeb"/>
        <w:spacing w:before="0" w:beforeAutospacing="0" w:after="0" w:afterAutospacing="0" w:line="276" w:lineRule="auto"/>
        <w:jc w:val="both"/>
        <w:rPr>
          <w:rFonts w:ascii="Arial" w:hAnsi="Arial" w:cs="Arial"/>
          <w:sz w:val="20"/>
          <w:szCs w:val="20"/>
        </w:rPr>
      </w:pPr>
      <w:r w:rsidRPr="000A48D0">
        <w:rPr>
          <w:rFonts w:ascii="Arial" w:hAnsi="Arial" w:cs="Arial"/>
          <w:sz w:val="20"/>
          <w:szCs w:val="20"/>
        </w:rPr>
        <w:t xml:space="preserve">The extra cost of paying electricity transmission charges makes Scottish projects less competitive in the </w:t>
      </w:r>
      <w:proofErr w:type="spellStart"/>
      <w:r w:rsidRPr="000A48D0">
        <w:rPr>
          <w:rFonts w:ascii="Arial" w:hAnsi="Arial" w:cs="Arial"/>
          <w:sz w:val="20"/>
          <w:szCs w:val="20"/>
        </w:rPr>
        <w:t>CfD</w:t>
      </w:r>
      <w:proofErr w:type="spellEnd"/>
      <w:r w:rsidRPr="000A48D0">
        <w:rPr>
          <w:rFonts w:ascii="Arial" w:hAnsi="Arial" w:cs="Arial"/>
          <w:sz w:val="20"/>
          <w:szCs w:val="20"/>
        </w:rPr>
        <w:t xml:space="preserve"> auction process. 1GW of renewable electricity generation means £133 million to the Scottish economy, therefore fewer projects </w:t>
      </w:r>
      <w:r w:rsidR="004D46CB" w:rsidRPr="000A48D0">
        <w:rPr>
          <w:rFonts w:ascii="Arial" w:hAnsi="Arial" w:cs="Arial"/>
          <w:sz w:val="20"/>
          <w:szCs w:val="20"/>
        </w:rPr>
        <w:t>mean</w:t>
      </w:r>
      <w:r w:rsidRPr="000A48D0">
        <w:rPr>
          <w:rFonts w:ascii="Arial" w:hAnsi="Arial" w:cs="Arial"/>
          <w:sz w:val="20"/>
          <w:szCs w:val="20"/>
        </w:rPr>
        <w:t xml:space="preserve"> the money which the private sector must invest to meet net</w:t>
      </w:r>
      <w:r w:rsidR="004D46CB" w:rsidRPr="000A48D0">
        <w:rPr>
          <w:rFonts w:ascii="Arial" w:hAnsi="Arial" w:cs="Arial"/>
          <w:sz w:val="20"/>
          <w:szCs w:val="20"/>
        </w:rPr>
        <w:t xml:space="preserve"> </w:t>
      </w:r>
      <w:r w:rsidRPr="000A48D0">
        <w:rPr>
          <w:rFonts w:ascii="Arial" w:hAnsi="Arial" w:cs="Arial"/>
          <w:sz w:val="20"/>
          <w:szCs w:val="20"/>
        </w:rPr>
        <w:t>zero will be spent elsewhere in the UK. This can be reflected in auction round AR1</w:t>
      </w:r>
      <w:r w:rsidRPr="000A48D0">
        <w:rPr>
          <w:rStyle w:val="FootnoteReference"/>
          <w:rFonts w:ascii="Arial" w:hAnsi="Arial" w:cs="Arial"/>
          <w:sz w:val="20"/>
          <w:szCs w:val="20"/>
        </w:rPr>
        <w:footnoteReference w:id="7"/>
      </w:r>
      <w:r w:rsidRPr="000A48D0">
        <w:rPr>
          <w:rFonts w:ascii="Arial" w:hAnsi="Arial" w:cs="Arial"/>
          <w:sz w:val="20"/>
          <w:szCs w:val="20"/>
        </w:rPr>
        <w:t>, AR2</w:t>
      </w:r>
      <w:r w:rsidRPr="000A48D0">
        <w:rPr>
          <w:rStyle w:val="FootnoteReference"/>
          <w:rFonts w:ascii="Arial" w:hAnsi="Arial" w:cs="Arial"/>
          <w:sz w:val="20"/>
          <w:szCs w:val="20"/>
        </w:rPr>
        <w:footnoteReference w:id="8"/>
      </w:r>
      <w:r w:rsidRPr="000A48D0">
        <w:rPr>
          <w:rFonts w:ascii="Arial" w:hAnsi="Arial" w:cs="Arial"/>
          <w:sz w:val="20"/>
          <w:szCs w:val="20"/>
        </w:rPr>
        <w:t xml:space="preserve"> and AR3</w:t>
      </w:r>
      <w:r w:rsidRPr="000A48D0">
        <w:rPr>
          <w:rStyle w:val="FootnoteReference"/>
          <w:rFonts w:ascii="Arial" w:hAnsi="Arial" w:cs="Arial"/>
          <w:sz w:val="20"/>
          <w:szCs w:val="20"/>
        </w:rPr>
        <w:footnoteReference w:id="9"/>
      </w:r>
      <w:r w:rsidRPr="000A48D0">
        <w:rPr>
          <w:rFonts w:ascii="Arial" w:hAnsi="Arial" w:cs="Arial"/>
          <w:sz w:val="20"/>
          <w:szCs w:val="20"/>
        </w:rPr>
        <w:t xml:space="preserve"> available through BEIS website</w:t>
      </w:r>
      <w:r w:rsidR="00AE7140" w:rsidRPr="000A48D0">
        <w:rPr>
          <w:rFonts w:ascii="Arial" w:hAnsi="Arial" w:cs="Arial"/>
          <w:sz w:val="20"/>
          <w:szCs w:val="20"/>
        </w:rPr>
        <w:t xml:space="preserve"> (see table below)</w:t>
      </w:r>
      <w:r w:rsidRPr="000A48D0">
        <w:rPr>
          <w:rFonts w:ascii="Arial" w:hAnsi="Arial" w:cs="Arial"/>
          <w:sz w:val="20"/>
          <w:szCs w:val="20"/>
        </w:rPr>
        <w:t xml:space="preserve">, which shows that the capacity awarded to </w:t>
      </w:r>
      <w:r w:rsidR="00953F39" w:rsidRPr="000A48D0">
        <w:rPr>
          <w:rFonts w:ascii="Arial" w:hAnsi="Arial" w:cs="Arial"/>
          <w:sz w:val="20"/>
          <w:szCs w:val="20"/>
        </w:rPr>
        <w:t xml:space="preserve">offshore wind </w:t>
      </w:r>
      <w:r w:rsidRPr="000A48D0">
        <w:rPr>
          <w:rFonts w:ascii="Arial" w:hAnsi="Arial" w:cs="Arial"/>
          <w:sz w:val="20"/>
          <w:szCs w:val="20"/>
        </w:rPr>
        <w:t>Scottish projects</w:t>
      </w:r>
      <w:r w:rsidR="00656342" w:rsidRPr="000A48D0">
        <w:rPr>
          <w:rStyle w:val="FootnoteReference"/>
          <w:rFonts w:ascii="Arial" w:hAnsi="Arial" w:cs="Arial"/>
          <w:sz w:val="20"/>
          <w:szCs w:val="20"/>
        </w:rPr>
        <w:footnoteReference w:id="10"/>
      </w:r>
      <w:r w:rsidR="00656342" w:rsidRPr="000A48D0">
        <w:rPr>
          <w:rFonts w:ascii="Arial" w:hAnsi="Arial" w:cs="Arial"/>
          <w:sz w:val="20"/>
          <w:szCs w:val="20"/>
        </w:rPr>
        <w:t xml:space="preserve"> </w:t>
      </w:r>
      <w:r w:rsidRPr="000A48D0">
        <w:rPr>
          <w:rFonts w:ascii="Arial" w:hAnsi="Arial" w:cs="Arial"/>
          <w:sz w:val="20"/>
          <w:szCs w:val="20"/>
        </w:rPr>
        <w:t>has decreased from 39 %</w:t>
      </w:r>
      <w:r w:rsidR="004D46CB" w:rsidRPr="000A48D0">
        <w:rPr>
          <w:rFonts w:ascii="Arial" w:hAnsi="Arial" w:cs="Arial"/>
          <w:sz w:val="20"/>
          <w:szCs w:val="20"/>
        </w:rPr>
        <w:t xml:space="preserve"> </w:t>
      </w:r>
      <w:r w:rsidRPr="000A48D0">
        <w:rPr>
          <w:rFonts w:ascii="Arial" w:hAnsi="Arial" w:cs="Arial"/>
          <w:sz w:val="20"/>
          <w:szCs w:val="20"/>
        </w:rPr>
        <w:t>in AR1 to 9% in AR3.</w:t>
      </w:r>
    </w:p>
    <w:p w14:paraId="0E6ECAFE" w14:textId="4B6E3C01" w:rsidR="008E5BE1" w:rsidRDefault="008E5BE1" w:rsidP="000A48D0">
      <w:pPr>
        <w:pStyle w:val="NormalWeb"/>
        <w:spacing w:before="0" w:beforeAutospacing="0" w:after="0" w:afterAutospacing="0" w:line="276" w:lineRule="auto"/>
        <w:jc w:val="both"/>
        <w:rPr>
          <w:rFonts w:ascii="Arial" w:hAnsi="Arial" w:cs="Arial"/>
          <w:sz w:val="20"/>
          <w:szCs w:val="20"/>
        </w:rPr>
      </w:pPr>
    </w:p>
    <w:p w14:paraId="7013CD3F" w14:textId="77777777" w:rsidR="008E5BE1" w:rsidRPr="000A48D0" w:rsidRDefault="008E5BE1" w:rsidP="000A48D0">
      <w:pPr>
        <w:pStyle w:val="NormalWeb"/>
        <w:spacing w:before="0" w:beforeAutospacing="0" w:after="0" w:afterAutospacing="0" w:line="276" w:lineRule="auto"/>
        <w:jc w:val="both"/>
        <w:rPr>
          <w:rFonts w:ascii="Arial" w:hAnsi="Arial" w:cs="Arial"/>
          <w:sz w:val="20"/>
          <w:szCs w:val="20"/>
        </w:rPr>
      </w:pPr>
    </w:p>
    <w:p w14:paraId="63DDCFBD" w14:textId="77777777" w:rsidR="00A61ECE" w:rsidRPr="000A48D0" w:rsidRDefault="00A61ECE" w:rsidP="000A48D0">
      <w:pPr>
        <w:pStyle w:val="NormalWeb"/>
        <w:spacing w:before="0" w:beforeAutospacing="0" w:after="0" w:afterAutospacing="0" w:line="276" w:lineRule="auto"/>
        <w:ind w:left="426"/>
        <w:jc w:val="both"/>
        <w:rPr>
          <w:rFonts w:ascii="Arial" w:hAnsi="Arial" w:cs="Arial"/>
          <w:sz w:val="20"/>
          <w:szCs w:val="20"/>
        </w:rPr>
      </w:pPr>
    </w:p>
    <w:tbl>
      <w:tblPr>
        <w:tblW w:w="7761" w:type="dxa"/>
        <w:tblInd w:w="704" w:type="dxa"/>
        <w:tblLook w:val="04A0" w:firstRow="1" w:lastRow="0" w:firstColumn="1" w:lastColumn="0" w:noHBand="0" w:noVBand="1"/>
      </w:tblPr>
      <w:tblGrid>
        <w:gridCol w:w="1418"/>
        <w:gridCol w:w="2268"/>
        <w:gridCol w:w="2195"/>
        <w:gridCol w:w="1880"/>
      </w:tblGrid>
      <w:tr w:rsidR="00A61ECE" w:rsidRPr="000A48D0" w14:paraId="3E78D398" w14:textId="77777777" w:rsidTr="00AA4C2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58E4B" w14:textId="77777777" w:rsidR="00A61ECE" w:rsidRPr="000A48D0" w:rsidRDefault="00A61ECE" w:rsidP="000A48D0">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lastRenderedPageBreak/>
              <w:t>Auction Round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A70C72A" w14:textId="5179D739" w:rsidR="00A61ECE" w:rsidRPr="000A48D0" w:rsidRDefault="00A61ECE" w:rsidP="000A48D0">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 xml:space="preserve">Total </w:t>
            </w:r>
            <w:r w:rsidR="00C03678" w:rsidRPr="000A48D0">
              <w:rPr>
                <w:rFonts w:ascii="Arial" w:eastAsia="Times New Roman" w:hAnsi="Arial" w:cs="Arial"/>
                <w:b/>
                <w:bCs/>
                <w:color w:val="000000"/>
                <w:sz w:val="20"/>
                <w:szCs w:val="20"/>
                <w:lang w:eastAsia="en-GB"/>
              </w:rPr>
              <w:t xml:space="preserve">offshore wind </w:t>
            </w:r>
            <w:r w:rsidRPr="000A48D0">
              <w:rPr>
                <w:rFonts w:ascii="Arial" w:eastAsia="Times New Roman" w:hAnsi="Arial" w:cs="Arial"/>
                <w:b/>
                <w:bCs/>
                <w:color w:val="000000"/>
                <w:sz w:val="20"/>
                <w:szCs w:val="20"/>
                <w:lang w:eastAsia="en-GB"/>
              </w:rPr>
              <w:t>capacity awarded (MW)</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14:paraId="239549A9" w14:textId="77CAF1A0" w:rsidR="00A61ECE" w:rsidRPr="000A48D0" w:rsidRDefault="00A61ECE" w:rsidP="000A48D0">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 xml:space="preserve">Capacity of </w:t>
            </w:r>
            <w:r w:rsidR="00C03678" w:rsidRPr="000A48D0">
              <w:rPr>
                <w:rFonts w:ascii="Arial" w:eastAsia="Times New Roman" w:hAnsi="Arial" w:cs="Arial"/>
                <w:b/>
                <w:bCs/>
                <w:color w:val="000000"/>
                <w:sz w:val="20"/>
                <w:szCs w:val="20"/>
                <w:lang w:eastAsia="en-GB"/>
              </w:rPr>
              <w:t xml:space="preserve">offshore wind </w:t>
            </w:r>
            <w:r w:rsidRPr="000A48D0">
              <w:rPr>
                <w:rFonts w:ascii="Arial" w:eastAsia="Times New Roman" w:hAnsi="Arial" w:cs="Arial"/>
                <w:b/>
                <w:bCs/>
                <w:color w:val="000000"/>
                <w:sz w:val="20"/>
                <w:szCs w:val="20"/>
                <w:lang w:eastAsia="en-GB"/>
              </w:rPr>
              <w:t>Scottish projects (MW)</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137A319" w14:textId="0036FB98" w:rsidR="00A61ECE" w:rsidRPr="000A48D0" w:rsidRDefault="00A61ECE" w:rsidP="000A48D0">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 xml:space="preserve">% </w:t>
            </w:r>
            <w:r w:rsidR="00A66290" w:rsidRPr="000A48D0">
              <w:rPr>
                <w:rFonts w:ascii="Arial" w:eastAsia="Times New Roman" w:hAnsi="Arial" w:cs="Arial"/>
                <w:b/>
                <w:bCs/>
                <w:color w:val="000000"/>
                <w:sz w:val="20"/>
                <w:szCs w:val="20"/>
                <w:lang w:eastAsia="en-GB"/>
              </w:rPr>
              <w:t>C</w:t>
            </w:r>
            <w:r w:rsidRPr="000A48D0">
              <w:rPr>
                <w:rFonts w:ascii="Arial" w:eastAsia="Times New Roman" w:hAnsi="Arial" w:cs="Arial"/>
                <w:b/>
                <w:bCs/>
                <w:color w:val="000000"/>
                <w:sz w:val="20"/>
                <w:szCs w:val="20"/>
                <w:lang w:eastAsia="en-GB"/>
              </w:rPr>
              <w:t>apacity awarded to Scottish projects</w:t>
            </w:r>
          </w:p>
        </w:tc>
      </w:tr>
      <w:tr w:rsidR="00A61ECE" w:rsidRPr="000A48D0" w14:paraId="05E370C8" w14:textId="77777777" w:rsidTr="00AA4C2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5A3C12" w14:textId="77777777" w:rsidR="00A61ECE" w:rsidRPr="000A48D0" w:rsidRDefault="00A61ECE" w:rsidP="000A48D0">
            <w:pPr>
              <w:spacing w:after="0"/>
              <w:ind w:left="426"/>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AR1</w:t>
            </w:r>
          </w:p>
        </w:tc>
        <w:tc>
          <w:tcPr>
            <w:tcW w:w="2268" w:type="dxa"/>
            <w:tcBorders>
              <w:top w:val="nil"/>
              <w:left w:val="nil"/>
              <w:bottom w:val="single" w:sz="4" w:space="0" w:color="auto"/>
              <w:right w:val="single" w:sz="4" w:space="0" w:color="auto"/>
            </w:tcBorders>
            <w:shd w:val="clear" w:color="auto" w:fill="auto"/>
            <w:noWrap/>
            <w:vAlign w:val="bottom"/>
            <w:hideMark/>
          </w:tcPr>
          <w:p w14:paraId="6CBF4DD0" w14:textId="7AB73EB6" w:rsidR="00A61ECE" w:rsidRPr="000A48D0" w:rsidRDefault="00DB03C1" w:rsidP="000A48D0">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w:t>
            </w:r>
            <w:r w:rsidR="00A61ECE" w:rsidRPr="000A48D0">
              <w:rPr>
                <w:rFonts w:ascii="Arial" w:eastAsia="Times New Roman" w:hAnsi="Arial" w:cs="Arial"/>
                <w:color w:val="000000"/>
                <w:sz w:val="20"/>
                <w:szCs w:val="20"/>
                <w:lang w:eastAsia="en-GB"/>
              </w:rPr>
              <w:t>1162</w:t>
            </w:r>
            <w:r w:rsidRPr="000A48D0">
              <w:rPr>
                <w:rFonts w:ascii="Arial" w:eastAsia="Times New Roman" w:hAnsi="Arial" w:cs="Arial"/>
                <w:color w:val="000000"/>
                <w:sz w:val="20"/>
                <w:szCs w:val="20"/>
                <w:lang w:eastAsia="en-GB"/>
              </w:rPr>
              <w:t xml:space="preserve"> </w:t>
            </w:r>
          </w:p>
        </w:tc>
        <w:tc>
          <w:tcPr>
            <w:tcW w:w="2195" w:type="dxa"/>
            <w:tcBorders>
              <w:top w:val="nil"/>
              <w:left w:val="nil"/>
              <w:bottom w:val="single" w:sz="4" w:space="0" w:color="auto"/>
              <w:right w:val="single" w:sz="4" w:space="0" w:color="auto"/>
            </w:tcBorders>
            <w:shd w:val="clear" w:color="auto" w:fill="auto"/>
            <w:noWrap/>
            <w:vAlign w:val="bottom"/>
            <w:hideMark/>
          </w:tcPr>
          <w:p w14:paraId="02190526" w14:textId="45FFA059" w:rsidR="00A61ECE" w:rsidRPr="000A48D0" w:rsidRDefault="00DB03C1" w:rsidP="000A48D0">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w:t>
            </w:r>
            <w:r w:rsidR="00A61ECE" w:rsidRPr="000A48D0">
              <w:rPr>
                <w:rFonts w:ascii="Arial" w:eastAsia="Times New Roman" w:hAnsi="Arial" w:cs="Arial"/>
                <w:color w:val="000000"/>
                <w:sz w:val="20"/>
                <w:szCs w:val="20"/>
                <w:lang w:eastAsia="en-GB"/>
              </w:rPr>
              <w:t>448</w:t>
            </w:r>
            <w:r w:rsidRPr="000A48D0">
              <w:rPr>
                <w:rFonts w:ascii="Arial" w:eastAsia="Times New Roman" w:hAnsi="Arial" w:cs="Arial"/>
                <w:color w:val="000000"/>
                <w:sz w:val="20"/>
                <w:szCs w:val="20"/>
                <w:lang w:eastAsia="en-GB"/>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14E73B87" w14:textId="77777777" w:rsidR="00A61ECE" w:rsidRPr="000A48D0" w:rsidRDefault="00A61ECE" w:rsidP="000A48D0">
            <w:pPr>
              <w:spacing w:after="0"/>
              <w:ind w:left="426"/>
              <w:jc w:val="right"/>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39%</w:t>
            </w:r>
          </w:p>
        </w:tc>
      </w:tr>
      <w:tr w:rsidR="00A61ECE" w:rsidRPr="000A48D0" w14:paraId="42307295" w14:textId="77777777" w:rsidTr="00AA4C2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16A5EC2" w14:textId="77777777" w:rsidR="00A61ECE" w:rsidRPr="000A48D0" w:rsidRDefault="00A61ECE" w:rsidP="000A48D0">
            <w:pPr>
              <w:spacing w:after="0"/>
              <w:ind w:left="426"/>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AR2</w:t>
            </w:r>
          </w:p>
        </w:tc>
        <w:tc>
          <w:tcPr>
            <w:tcW w:w="2268" w:type="dxa"/>
            <w:tcBorders>
              <w:top w:val="nil"/>
              <w:left w:val="nil"/>
              <w:bottom w:val="single" w:sz="4" w:space="0" w:color="auto"/>
              <w:right w:val="single" w:sz="4" w:space="0" w:color="auto"/>
            </w:tcBorders>
            <w:shd w:val="clear" w:color="auto" w:fill="auto"/>
            <w:noWrap/>
            <w:vAlign w:val="bottom"/>
            <w:hideMark/>
          </w:tcPr>
          <w:p w14:paraId="68C1F17F" w14:textId="62EDB7CA" w:rsidR="00A61ECE" w:rsidRPr="000A48D0" w:rsidRDefault="00DB03C1" w:rsidP="000A48D0">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w:t>
            </w:r>
            <w:r w:rsidR="00A61ECE" w:rsidRPr="000A48D0">
              <w:rPr>
                <w:rFonts w:ascii="Arial" w:eastAsia="Times New Roman" w:hAnsi="Arial" w:cs="Arial"/>
                <w:color w:val="000000"/>
                <w:sz w:val="20"/>
                <w:szCs w:val="20"/>
                <w:lang w:eastAsia="en-GB"/>
              </w:rPr>
              <w:t>3196</w:t>
            </w:r>
            <w:r w:rsidRPr="000A48D0">
              <w:rPr>
                <w:rFonts w:ascii="Arial" w:eastAsia="Times New Roman" w:hAnsi="Arial" w:cs="Arial"/>
                <w:color w:val="000000"/>
                <w:sz w:val="20"/>
                <w:szCs w:val="20"/>
                <w:lang w:eastAsia="en-GB"/>
              </w:rPr>
              <w:t xml:space="preserve"> </w:t>
            </w:r>
          </w:p>
        </w:tc>
        <w:tc>
          <w:tcPr>
            <w:tcW w:w="2195" w:type="dxa"/>
            <w:tcBorders>
              <w:top w:val="nil"/>
              <w:left w:val="nil"/>
              <w:bottom w:val="single" w:sz="4" w:space="0" w:color="auto"/>
              <w:right w:val="single" w:sz="4" w:space="0" w:color="auto"/>
            </w:tcBorders>
            <w:shd w:val="clear" w:color="auto" w:fill="auto"/>
            <w:noWrap/>
            <w:vAlign w:val="bottom"/>
            <w:hideMark/>
          </w:tcPr>
          <w:p w14:paraId="735A77BE" w14:textId="45A780A9" w:rsidR="00A61ECE" w:rsidRPr="000A48D0" w:rsidRDefault="00DB03C1" w:rsidP="000A48D0">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w:t>
            </w:r>
            <w:r w:rsidR="00A61ECE" w:rsidRPr="000A48D0">
              <w:rPr>
                <w:rFonts w:ascii="Arial" w:eastAsia="Times New Roman" w:hAnsi="Arial" w:cs="Arial"/>
                <w:color w:val="000000"/>
                <w:sz w:val="20"/>
                <w:szCs w:val="20"/>
                <w:lang w:eastAsia="en-GB"/>
              </w:rPr>
              <w:t>950</w:t>
            </w:r>
            <w:r w:rsidRPr="000A48D0">
              <w:rPr>
                <w:rFonts w:ascii="Arial" w:eastAsia="Times New Roman" w:hAnsi="Arial" w:cs="Arial"/>
                <w:color w:val="000000"/>
                <w:sz w:val="20"/>
                <w:szCs w:val="20"/>
                <w:lang w:eastAsia="en-GB"/>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70B09AD3" w14:textId="77777777" w:rsidR="00A61ECE" w:rsidRPr="000A48D0" w:rsidRDefault="00A61ECE" w:rsidP="000A48D0">
            <w:pPr>
              <w:spacing w:after="0"/>
              <w:ind w:left="426"/>
              <w:jc w:val="right"/>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30%</w:t>
            </w:r>
          </w:p>
        </w:tc>
      </w:tr>
      <w:tr w:rsidR="00A61ECE" w:rsidRPr="000A48D0" w14:paraId="23CF04DE" w14:textId="77777777" w:rsidTr="00AA4C2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7A8A78D" w14:textId="77777777" w:rsidR="00A61ECE" w:rsidRPr="000A48D0" w:rsidRDefault="00A61ECE" w:rsidP="000A48D0">
            <w:pPr>
              <w:spacing w:after="0"/>
              <w:ind w:left="426"/>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AR3</w:t>
            </w:r>
          </w:p>
        </w:tc>
        <w:tc>
          <w:tcPr>
            <w:tcW w:w="2268" w:type="dxa"/>
            <w:tcBorders>
              <w:top w:val="nil"/>
              <w:left w:val="nil"/>
              <w:bottom w:val="single" w:sz="4" w:space="0" w:color="auto"/>
              <w:right w:val="single" w:sz="4" w:space="0" w:color="auto"/>
            </w:tcBorders>
            <w:shd w:val="clear" w:color="auto" w:fill="auto"/>
            <w:noWrap/>
            <w:vAlign w:val="bottom"/>
            <w:hideMark/>
          </w:tcPr>
          <w:p w14:paraId="7C30BBDD" w14:textId="54B09AF8" w:rsidR="00A61ECE" w:rsidRPr="000A48D0" w:rsidRDefault="00DB03C1" w:rsidP="000A48D0">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w:t>
            </w:r>
            <w:r w:rsidR="00A61ECE" w:rsidRPr="000A48D0">
              <w:rPr>
                <w:rFonts w:ascii="Arial" w:eastAsia="Times New Roman" w:hAnsi="Arial" w:cs="Arial"/>
                <w:color w:val="000000"/>
                <w:sz w:val="20"/>
                <w:szCs w:val="20"/>
                <w:lang w:eastAsia="en-GB"/>
              </w:rPr>
              <w:t>5466</w:t>
            </w:r>
            <w:r w:rsidRPr="000A48D0">
              <w:rPr>
                <w:rFonts w:ascii="Arial" w:eastAsia="Times New Roman" w:hAnsi="Arial" w:cs="Arial"/>
                <w:color w:val="000000"/>
                <w:sz w:val="20"/>
                <w:szCs w:val="20"/>
                <w:lang w:eastAsia="en-GB"/>
              </w:rPr>
              <w:t xml:space="preserve">  </w:t>
            </w:r>
          </w:p>
        </w:tc>
        <w:tc>
          <w:tcPr>
            <w:tcW w:w="2195" w:type="dxa"/>
            <w:tcBorders>
              <w:top w:val="nil"/>
              <w:left w:val="nil"/>
              <w:bottom w:val="single" w:sz="4" w:space="0" w:color="auto"/>
              <w:right w:val="single" w:sz="4" w:space="0" w:color="auto"/>
            </w:tcBorders>
            <w:shd w:val="clear" w:color="auto" w:fill="auto"/>
            <w:noWrap/>
            <w:vAlign w:val="bottom"/>
            <w:hideMark/>
          </w:tcPr>
          <w:p w14:paraId="74A3FFD9" w14:textId="2D79D72A" w:rsidR="00A61ECE" w:rsidRPr="000A48D0" w:rsidRDefault="00A61ECE" w:rsidP="000A48D0">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466</w:t>
            </w:r>
            <w:r w:rsidR="00DB03C1" w:rsidRPr="000A48D0">
              <w:rPr>
                <w:rFonts w:ascii="Arial" w:eastAsia="Times New Roman" w:hAnsi="Arial" w:cs="Arial"/>
                <w:color w:val="000000"/>
                <w:sz w:val="20"/>
                <w:szCs w:val="20"/>
                <w:lang w:eastAsia="en-GB"/>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529B1DB2" w14:textId="77777777" w:rsidR="00A61ECE" w:rsidRPr="000A48D0" w:rsidRDefault="00A61ECE" w:rsidP="000A48D0">
            <w:pPr>
              <w:spacing w:after="0"/>
              <w:ind w:left="426"/>
              <w:jc w:val="right"/>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9%</w:t>
            </w:r>
          </w:p>
        </w:tc>
      </w:tr>
    </w:tbl>
    <w:p w14:paraId="6222D993" w14:textId="0ED0CA7C" w:rsidR="004768F3" w:rsidRPr="000A48D0" w:rsidRDefault="004768F3" w:rsidP="000A48D0">
      <w:pPr>
        <w:pStyle w:val="NormalWeb"/>
        <w:spacing w:before="0" w:beforeAutospacing="0" w:after="0" w:afterAutospacing="0" w:line="276" w:lineRule="auto"/>
        <w:ind w:left="426"/>
        <w:jc w:val="both"/>
        <w:rPr>
          <w:rFonts w:ascii="Arial" w:hAnsi="Arial" w:cs="Arial"/>
          <w:sz w:val="20"/>
          <w:szCs w:val="20"/>
        </w:rPr>
      </w:pPr>
    </w:p>
    <w:p w14:paraId="57EB3C7B" w14:textId="4C0C1F5E" w:rsidR="00656342" w:rsidRPr="000A48D0" w:rsidRDefault="00656342" w:rsidP="000A48D0">
      <w:pPr>
        <w:pStyle w:val="NormalWeb"/>
        <w:spacing w:before="0" w:beforeAutospacing="0" w:after="0" w:afterAutospacing="0" w:line="276" w:lineRule="auto"/>
        <w:jc w:val="both"/>
        <w:rPr>
          <w:rFonts w:ascii="Arial" w:hAnsi="Arial" w:cs="Arial"/>
          <w:sz w:val="20"/>
          <w:szCs w:val="20"/>
        </w:rPr>
      </w:pPr>
      <w:r w:rsidRPr="00A13DDC">
        <w:rPr>
          <w:rFonts w:ascii="Arial" w:hAnsi="Arial" w:cs="Arial"/>
          <w:sz w:val="20"/>
          <w:szCs w:val="20"/>
        </w:rPr>
        <w:t xml:space="preserve">With respect to AR3 we would like to note that several Scottish projects failed to win contracts, the 90-turbine Moray West Offshore Wind Farm (sister project to the Moray East wind project) was unsuccessful in its </w:t>
      </w:r>
      <w:proofErr w:type="spellStart"/>
      <w:r w:rsidRPr="00A13DDC">
        <w:rPr>
          <w:rFonts w:ascii="Arial" w:hAnsi="Arial" w:cs="Arial"/>
          <w:sz w:val="20"/>
          <w:szCs w:val="20"/>
        </w:rPr>
        <w:t>CfD</w:t>
      </w:r>
      <w:proofErr w:type="spellEnd"/>
      <w:r w:rsidRPr="00A13DDC">
        <w:rPr>
          <w:rFonts w:ascii="Arial" w:hAnsi="Arial" w:cs="Arial"/>
          <w:sz w:val="20"/>
          <w:szCs w:val="20"/>
        </w:rPr>
        <w:t xml:space="preserve"> auction proposal, as was Red Rock Power’s Inch Cape Wind Farm off the Angus coast. Several other remote island wind projects also failed in their bids, such as the Viking Wind Farm joint venture between the Shetland community and SSE.</w:t>
      </w:r>
    </w:p>
    <w:p w14:paraId="56B193CF" w14:textId="77777777" w:rsidR="008E5BE1" w:rsidRDefault="008E5BE1" w:rsidP="000A48D0">
      <w:pPr>
        <w:pStyle w:val="NormalWeb"/>
        <w:spacing w:before="0" w:beforeAutospacing="0" w:after="0" w:afterAutospacing="0" w:line="276" w:lineRule="auto"/>
        <w:jc w:val="both"/>
        <w:rPr>
          <w:rFonts w:ascii="Arial" w:hAnsi="Arial" w:cs="Arial"/>
          <w:sz w:val="20"/>
          <w:szCs w:val="20"/>
        </w:rPr>
      </w:pPr>
    </w:p>
    <w:p w14:paraId="7AF4A92C" w14:textId="42B5E226" w:rsidR="00A47A24" w:rsidRPr="000A48D0" w:rsidRDefault="00A47A24" w:rsidP="000A48D0">
      <w:pPr>
        <w:pStyle w:val="NormalWeb"/>
        <w:spacing w:before="0" w:beforeAutospacing="0" w:after="0" w:afterAutospacing="0" w:line="276" w:lineRule="auto"/>
        <w:jc w:val="both"/>
        <w:rPr>
          <w:rFonts w:ascii="Arial" w:hAnsi="Arial" w:cs="Arial"/>
          <w:sz w:val="20"/>
          <w:szCs w:val="20"/>
        </w:rPr>
      </w:pPr>
      <w:r w:rsidRPr="000A48D0">
        <w:rPr>
          <w:rFonts w:ascii="Arial" w:hAnsi="Arial" w:cs="Arial"/>
          <w:sz w:val="20"/>
          <w:szCs w:val="20"/>
        </w:rPr>
        <w:t xml:space="preserve">This situation is expected to get worse without any action to the current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regime. According to National Grid ESO tariffs</w:t>
      </w:r>
      <w:r w:rsidRPr="000A48D0">
        <w:rPr>
          <w:rStyle w:val="FootnoteReference"/>
          <w:rFonts w:ascii="Arial" w:hAnsi="Arial" w:cs="Arial"/>
          <w:sz w:val="20"/>
          <w:szCs w:val="20"/>
        </w:rPr>
        <w:footnoteReference w:id="11"/>
      </w:r>
      <w:r w:rsidRPr="000A48D0">
        <w:rPr>
          <w:rFonts w:ascii="Arial" w:hAnsi="Arial" w:cs="Arial"/>
          <w:sz w:val="20"/>
          <w:szCs w:val="20"/>
        </w:rPr>
        <w:t xml:space="preserve">, the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charges in Scotland ha</w:t>
      </w:r>
      <w:r w:rsidR="00BC2001" w:rsidRPr="000A48D0">
        <w:rPr>
          <w:rFonts w:ascii="Arial" w:hAnsi="Arial" w:cs="Arial"/>
          <w:sz w:val="20"/>
          <w:szCs w:val="20"/>
        </w:rPr>
        <w:t>ve</w:t>
      </w:r>
      <w:r w:rsidRPr="000A48D0">
        <w:rPr>
          <w:rFonts w:ascii="Arial" w:hAnsi="Arial" w:cs="Arial"/>
          <w:sz w:val="20"/>
          <w:szCs w:val="20"/>
        </w:rPr>
        <w:t xml:space="preserve"> increased from 11</w:t>
      </w:r>
      <w:r w:rsidR="00BC2001" w:rsidRPr="000A48D0">
        <w:rPr>
          <w:rFonts w:ascii="Arial" w:hAnsi="Arial" w:cs="Arial"/>
          <w:sz w:val="20"/>
          <w:szCs w:val="20"/>
        </w:rPr>
        <w:t xml:space="preserve"> </w:t>
      </w:r>
      <w:r w:rsidRPr="000A48D0">
        <w:rPr>
          <w:rFonts w:ascii="Arial" w:hAnsi="Arial" w:cs="Arial"/>
          <w:sz w:val="20"/>
          <w:szCs w:val="20"/>
        </w:rPr>
        <w:t>£/kW from 2016 to 26.35 £/kW in 2021</w:t>
      </w:r>
      <w:r w:rsidR="00BC2001" w:rsidRPr="000A48D0">
        <w:rPr>
          <w:rFonts w:ascii="Arial" w:hAnsi="Arial" w:cs="Arial"/>
          <w:sz w:val="20"/>
          <w:szCs w:val="20"/>
        </w:rPr>
        <w:t xml:space="preserve"> and members of Scottish Renewables </w:t>
      </w:r>
      <w:r w:rsidR="00CD3FB5" w:rsidRPr="000A48D0">
        <w:rPr>
          <w:rFonts w:ascii="Arial" w:hAnsi="Arial" w:cs="Arial"/>
          <w:sz w:val="20"/>
          <w:szCs w:val="20"/>
        </w:rPr>
        <w:t>who are been doing their own analysis predict that the situation will get worse without any action.</w:t>
      </w:r>
      <w:r w:rsidR="00BC2001" w:rsidRPr="000A48D0">
        <w:rPr>
          <w:rFonts w:ascii="Arial" w:hAnsi="Arial" w:cs="Arial"/>
          <w:sz w:val="20"/>
          <w:szCs w:val="20"/>
        </w:rPr>
        <w:t xml:space="preserve"> </w:t>
      </w:r>
    </w:p>
    <w:p w14:paraId="265DFE4D" w14:textId="20288080" w:rsidR="005B5385" w:rsidRPr="000A48D0" w:rsidRDefault="005B5385" w:rsidP="000A48D0">
      <w:pPr>
        <w:pStyle w:val="NormalWeb"/>
        <w:spacing w:before="0" w:beforeAutospacing="0" w:after="0" w:afterAutospacing="0" w:line="276" w:lineRule="auto"/>
        <w:jc w:val="both"/>
        <w:rPr>
          <w:rFonts w:ascii="Arial" w:hAnsi="Arial" w:cs="Arial"/>
          <w:sz w:val="20"/>
          <w:szCs w:val="20"/>
        </w:rPr>
      </w:pPr>
    </w:p>
    <w:sectPr w:rsidR="005B5385" w:rsidRPr="000A48D0" w:rsidSect="000804F6">
      <w:headerReference w:type="first" r:id="rId18"/>
      <w:footerReference w:type="first" r:id="rId19"/>
      <w:pgSz w:w="11906" w:h="16838"/>
      <w:pgMar w:top="1474" w:right="1440"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geles Sandoval" w:date="2021-08-17T19:22:00Z" w:initials="AS">
    <w:p w14:paraId="606EAC8E" w14:textId="0A34D60A" w:rsidR="000A48D0" w:rsidRDefault="000A48D0">
      <w:pPr>
        <w:pStyle w:val="CommentText"/>
      </w:pPr>
      <w:r>
        <w:rPr>
          <w:rStyle w:val="CommentReference"/>
        </w:rPr>
        <w:annotationRef/>
      </w:r>
      <w:r>
        <w:t>Members’ opinions are welcome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EAC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8B05" w16cex:dateUtc="2021-08-17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EAC8E" w16cid:durableId="24C68B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35295A2F" w14:textId="3B0352C2" w:rsidR="001A1BC5" w:rsidRPr="001A1BC5" w:rsidRDefault="001A1BC5">
      <w:pPr>
        <w:pStyle w:val="FootnoteText"/>
        <w:rPr>
          <w:lang w:val="en-US"/>
        </w:rPr>
      </w:pPr>
      <w:r>
        <w:rPr>
          <w:rStyle w:val="FootnoteReference"/>
        </w:rPr>
        <w:footnoteRef/>
      </w:r>
      <w:r>
        <w:t xml:space="preserve"> </w:t>
      </w:r>
      <w:hyperlink r:id="rId1" w:history="1">
        <w:r w:rsidRPr="001A1BC5">
          <w:rPr>
            <w:rStyle w:val="Hyperlink"/>
            <w:sz w:val="16"/>
            <w:szCs w:val="16"/>
          </w:rPr>
          <w:t xml:space="preserve">Grid charging reforms: </w:t>
        </w:r>
        <w:proofErr w:type="gramStart"/>
        <w:r w:rsidRPr="001A1BC5">
          <w:rPr>
            <w:rStyle w:val="Hyperlink"/>
            <w:sz w:val="16"/>
            <w:szCs w:val="16"/>
          </w:rPr>
          <w:t>New</w:t>
        </w:r>
        <w:proofErr w:type="gramEnd"/>
        <w:r w:rsidRPr="001A1BC5">
          <w:rPr>
            <w:rStyle w:val="Hyperlink"/>
            <w:sz w:val="16"/>
            <w:szCs w:val="16"/>
          </w:rPr>
          <w:t xml:space="preserve"> report by Baringa consultants for SR/RUK (scottishrenewables.com)</w:t>
        </w:r>
      </w:hyperlink>
    </w:p>
  </w:footnote>
  <w:footnote w:id="2">
    <w:p w14:paraId="3D1F8DFB" w14:textId="77777777" w:rsidR="008F7CA6" w:rsidRPr="004309D9" w:rsidRDefault="008F7CA6" w:rsidP="008F7CA6">
      <w:pPr>
        <w:pStyle w:val="FootnoteText"/>
        <w:rPr>
          <w:lang w:val="en-US"/>
        </w:rPr>
      </w:pPr>
      <w:r w:rsidRPr="00706284">
        <w:rPr>
          <w:rStyle w:val="FootnoteReference"/>
          <w:rFonts w:ascii="Arial" w:hAnsi="Arial" w:cs="Arial"/>
          <w:sz w:val="18"/>
          <w:szCs w:val="18"/>
        </w:rPr>
        <w:footnoteRef/>
      </w:r>
      <w:r w:rsidRPr="00BA5E48">
        <w:rPr>
          <w:sz w:val="16"/>
          <w:szCs w:val="16"/>
        </w:rPr>
        <w:t xml:space="preserve"> </w:t>
      </w:r>
      <w:hyperlink r:id="rId2" w:history="1">
        <w:r w:rsidRPr="00706284">
          <w:rPr>
            <w:rStyle w:val="Hyperlink"/>
            <w:rFonts w:ascii="Arial" w:hAnsi="Arial" w:cs="Arial"/>
            <w:sz w:val="16"/>
            <w:szCs w:val="16"/>
          </w:rPr>
          <w:t>https://www.nationalgrideso.com/future-energy/future-energy-scenarios/fes-2021</w:t>
        </w:r>
      </w:hyperlink>
      <w:r>
        <w:t xml:space="preserve"> </w:t>
      </w:r>
    </w:p>
  </w:footnote>
  <w:footnote w:id="3">
    <w:p w14:paraId="019A4CE5" w14:textId="51E409C7" w:rsidR="00082545" w:rsidRPr="00082545" w:rsidRDefault="00082545">
      <w:pPr>
        <w:pStyle w:val="FootnoteText"/>
        <w:rPr>
          <w:lang w:val="en-US"/>
        </w:rPr>
      </w:pPr>
      <w:r>
        <w:rPr>
          <w:rStyle w:val="FootnoteReference"/>
        </w:rPr>
        <w:footnoteRef/>
      </w:r>
      <w:r>
        <w:t xml:space="preserve"> </w:t>
      </w:r>
      <w:hyperlink r:id="rId3" w:history="1">
        <w:r w:rsidRPr="00ED4900">
          <w:rPr>
            <w:rStyle w:val="Hyperlink"/>
            <w:rFonts w:ascii="Arial" w:hAnsi="Arial" w:cs="Arial"/>
            <w:sz w:val="16"/>
            <w:szCs w:val="16"/>
          </w:rPr>
          <w:t>https://www.ssen-transmission.co.uk/news-views/articles/2021/2/ssen-transmission-calls-for-reform-of-unfair-and-volatile-charging-regime/</w:t>
        </w:r>
      </w:hyperlink>
    </w:p>
  </w:footnote>
  <w:footnote w:id="4">
    <w:p w14:paraId="2BC10688" w14:textId="77777777" w:rsidR="00706284" w:rsidRPr="003113BB" w:rsidRDefault="00706284" w:rsidP="00706284">
      <w:pPr>
        <w:pStyle w:val="FootnoteText"/>
        <w:rPr>
          <w:rFonts w:ascii="Arial" w:hAnsi="Arial" w:cs="Arial"/>
          <w:sz w:val="18"/>
          <w:szCs w:val="18"/>
          <w:lang w:val="en-US"/>
        </w:rPr>
      </w:pPr>
      <w:r w:rsidRPr="003113BB">
        <w:rPr>
          <w:rStyle w:val="FootnoteReference"/>
          <w:rFonts w:ascii="Arial" w:hAnsi="Arial" w:cs="Arial"/>
          <w:sz w:val="18"/>
          <w:szCs w:val="18"/>
        </w:rPr>
        <w:footnoteRef/>
      </w:r>
      <w:r w:rsidRPr="003113BB">
        <w:rPr>
          <w:rFonts w:ascii="Arial" w:hAnsi="Arial" w:cs="Arial"/>
          <w:sz w:val="18"/>
          <w:szCs w:val="18"/>
        </w:rPr>
        <w:t xml:space="preserve"> </w:t>
      </w:r>
      <w:hyperlink r:id="rId4" w:history="1">
        <w:r w:rsidRPr="00706284">
          <w:rPr>
            <w:rStyle w:val="Hyperlink"/>
            <w:rFonts w:ascii="Arial" w:hAnsi="Arial" w:cs="Arial"/>
            <w:sz w:val="16"/>
            <w:szCs w:val="16"/>
          </w:rPr>
          <w:t>https://www.gov.uk/government/publications/energy-white-paper-powering-our-net-zero-future</w:t>
        </w:r>
      </w:hyperlink>
      <w:r w:rsidRPr="003113BB">
        <w:rPr>
          <w:rFonts w:ascii="Arial" w:hAnsi="Arial" w:cs="Arial"/>
          <w:sz w:val="18"/>
          <w:szCs w:val="18"/>
        </w:rPr>
        <w:t xml:space="preserve"> </w:t>
      </w:r>
    </w:p>
  </w:footnote>
  <w:footnote w:id="5">
    <w:p w14:paraId="14EEABFD" w14:textId="31392797" w:rsidR="00AD01C3" w:rsidRPr="00AD01C3" w:rsidRDefault="00AD01C3">
      <w:pPr>
        <w:pStyle w:val="FootnoteText"/>
        <w:rPr>
          <w:rFonts w:ascii="Arial" w:hAnsi="Arial" w:cs="Arial"/>
          <w:sz w:val="16"/>
          <w:szCs w:val="16"/>
          <w:lang w:val="en-US"/>
        </w:rPr>
      </w:pPr>
      <w:r w:rsidRPr="00AD01C3">
        <w:rPr>
          <w:rStyle w:val="FootnoteReference"/>
          <w:rFonts w:ascii="Arial" w:hAnsi="Arial" w:cs="Arial"/>
          <w:sz w:val="18"/>
          <w:szCs w:val="18"/>
        </w:rPr>
        <w:footnoteRef/>
      </w:r>
      <w:r w:rsidRPr="00AD01C3">
        <w:rPr>
          <w:rFonts w:ascii="Arial" w:hAnsi="Arial" w:cs="Arial"/>
          <w:sz w:val="16"/>
          <w:szCs w:val="16"/>
        </w:rPr>
        <w:t xml:space="preserve"> </w:t>
      </w:r>
      <w:hyperlink r:id="rId5" w:history="1">
        <w:r w:rsidRPr="003F01F7">
          <w:rPr>
            <w:rStyle w:val="Hyperlink"/>
            <w:rFonts w:ascii="Arial" w:hAnsi="Arial" w:cs="Arial"/>
            <w:sz w:val="16"/>
            <w:szCs w:val="16"/>
          </w:rPr>
          <w:t>https://www.gov.scot/publications/onshore-wind-policy-statement-9781788515283/</w:t>
        </w:r>
      </w:hyperlink>
      <w:r>
        <w:rPr>
          <w:rFonts w:ascii="Arial" w:hAnsi="Arial" w:cs="Arial"/>
          <w:sz w:val="16"/>
          <w:szCs w:val="16"/>
        </w:rPr>
        <w:t xml:space="preserve"> </w:t>
      </w:r>
      <w:r w:rsidRPr="00AD01C3">
        <w:rPr>
          <w:rFonts w:ascii="Arial" w:hAnsi="Arial" w:cs="Arial"/>
          <w:sz w:val="16"/>
          <w:szCs w:val="16"/>
        </w:rPr>
        <w:t xml:space="preserve">   </w:t>
      </w:r>
      <w:r>
        <w:rPr>
          <w:rFonts w:ascii="Arial" w:hAnsi="Arial" w:cs="Arial"/>
          <w:sz w:val="16"/>
          <w:szCs w:val="16"/>
        </w:rPr>
        <w:t xml:space="preserve">  </w:t>
      </w:r>
    </w:p>
  </w:footnote>
  <w:footnote w:id="6">
    <w:p w14:paraId="759B6DFE" w14:textId="5F4E7EB8" w:rsidR="00ED4900" w:rsidRPr="00ED4900" w:rsidRDefault="00ED4900">
      <w:pPr>
        <w:pStyle w:val="FootnoteText"/>
        <w:rPr>
          <w:lang w:val="en-US"/>
        </w:rPr>
      </w:pPr>
      <w:r>
        <w:rPr>
          <w:rStyle w:val="FootnoteReference"/>
        </w:rPr>
        <w:footnoteRef/>
      </w:r>
      <w:r>
        <w:t xml:space="preserve"> </w:t>
      </w:r>
      <w:hyperlink r:id="rId6" w:history="1">
        <w:r w:rsidRPr="00ED4900">
          <w:rPr>
            <w:rStyle w:val="Hyperlink"/>
            <w:rFonts w:ascii="Arial" w:hAnsi="Arial" w:cs="Arial"/>
            <w:sz w:val="16"/>
            <w:szCs w:val="16"/>
          </w:rPr>
          <w:t>https://www.ssen-transmission.co.uk/news-views/articles/2021/2/ssen-transmission-calls-for-reform-of-unfair-and-volatile-charging-regime/</w:t>
        </w:r>
      </w:hyperlink>
      <w:r>
        <w:t xml:space="preserve"> </w:t>
      </w:r>
    </w:p>
  </w:footnote>
  <w:footnote w:id="7">
    <w:p w14:paraId="790DE62F" w14:textId="248EDA8E" w:rsidR="00A61ECE" w:rsidRPr="00A47A24" w:rsidRDefault="00A61ECE">
      <w:pPr>
        <w:pStyle w:val="FootnoteText"/>
        <w:rPr>
          <w:rFonts w:ascii="Arial" w:hAnsi="Arial" w:cs="Arial"/>
          <w:sz w:val="16"/>
          <w:szCs w:val="16"/>
          <w:lang w:val="en-US"/>
        </w:rPr>
      </w:pPr>
      <w:r>
        <w:rPr>
          <w:rStyle w:val="FootnoteReference"/>
        </w:rPr>
        <w:footnoteRef/>
      </w:r>
      <w:r>
        <w:t xml:space="preserve"> </w:t>
      </w:r>
      <w:hyperlink r:id="rId7" w:history="1">
        <w:r w:rsidRPr="00A47A24">
          <w:rPr>
            <w:rStyle w:val="Hyperlink"/>
            <w:rFonts w:ascii="Arial" w:hAnsi="Arial" w:cs="Arial"/>
            <w:sz w:val="16"/>
            <w:szCs w:val="16"/>
          </w:rPr>
          <w:t>Contracts for Difference (CFD) Allocation Round One Outcome - GOV.UK (www.gov.uk)</w:t>
        </w:r>
      </w:hyperlink>
    </w:p>
  </w:footnote>
  <w:footnote w:id="8">
    <w:p w14:paraId="00694925" w14:textId="1A02656E" w:rsidR="00A61ECE" w:rsidRPr="00A47A24" w:rsidRDefault="00A61ECE">
      <w:pPr>
        <w:pStyle w:val="FootnoteText"/>
        <w:rPr>
          <w:rFonts w:ascii="Arial" w:hAnsi="Arial" w:cs="Arial"/>
          <w:sz w:val="16"/>
          <w:szCs w:val="16"/>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8" w:history="1">
        <w:r w:rsidRPr="00A47A24">
          <w:rPr>
            <w:rStyle w:val="Hyperlink"/>
            <w:rFonts w:ascii="Arial" w:hAnsi="Arial" w:cs="Arial"/>
            <w:sz w:val="16"/>
            <w:szCs w:val="16"/>
          </w:rPr>
          <w:t>Contracts for Difference (CFD) Second Allocation Round Results - GOV.UK (www.gov.uk)</w:t>
        </w:r>
      </w:hyperlink>
    </w:p>
  </w:footnote>
  <w:footnote w:id="9">
    <w:p w14:paraId="64FC95C0" w14:textId="652698BC" w:rsidR="00A61ECE" w:rsidRPr="00A47A24" w:rsidRDefault="00A61ECE">
      <w:pPr>
        <w:pStyle w:val="FootnoteText"/>
        <w:rPr>
          <w:rFonts w:ascii="Arial" w:hAnsi="Arial" w:cs="Arial"/>
          <w:sz w:val="16"/>
          <w:szCs w:val="16"/>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9" w:history="1">
        <w:r w:rsidRPr="00A47A24">
          <w:rPr>
            <w:rStyle w:val="Hyperlink"/>
            <w:rFonts w:ascii="Arial" w:hAnsi="Arial" w:cs="Arial"/>
            <w:sz w:val="16"/>
            <w:szCs w:val="16"/>
          </w:rPr>
          <w:t>Contracts for Difference (CfD) Allocation Round 3: results - GOV.UK (www.gov.uk)</w:t>
        </w:r>
      </w:hyperlink>
    </w:p>
  </w:footnote>
  <w:footnote w:id="10">
    <w:p w14:paraId="26428BCB" w14:textId="2F55B613" w:rsidR="00656342" w:rsidRPr="00656342" w:rsidRDefault="00656342">
      <w:pPr>
        <w:pStyle w:val="FootnoteText"/>
        <w:rPr>
          <w:lang w:val="en-US"/>
        </w:rPr>
      </w:pPr>
      <w:r>
        <w:rPr>
          <w:rStyle w:val="FootnoteReference"/>
        </w:rPr>
        <w:footnoteRef/>
      </w:r>
      <w:r>
        <w:t xml:space="preserve"> </w:t>
      </w:r>
      <w:proofErr w:type="spellStart"/>
      <w:r w:rsidRPr="0028530A">
        <w:rPr>
          <w:rFonts w:ascii="Arial" w:hAnsi="Arial" w:cs="Arial"/>
          <w:sz w:val="16"/>
          <w:szCs w:val="16"/>
        </w:rPr>
        <w:t>CfD</w:t>
      </w:r>
      <w:proofErr w:type="spellEnd"/>
      <w:r w:rsidRPr="0028530A">
        <w:rPr>
          <w:rFonts w:ascii="Arial" w:hAnsi="Arial" w:cs="Arial"/>
          <w:sz w:val="16"/>
          <w:szCs w:val="16"/>
        </w:rPr>
        <w:t xml:space="preserve"> continues to support both new offshore and onshore projects however pot one technologies (those which are more established: Solar PV and Onshore wind) were not able to enter the auctions between 2015 and 2019. Therefore, this analysis includes offshore wind only.</w:t>
      </w:r>
    </w:p>
  </w:footnote>
  <w:footnote w:id="11">
    <w:p w14:paraId="6B672D99" w14:textId="3A15CEDC" w:rsidR="00A47A24" w:rsidRPr="00A47A24" w:rsidRDefault="00A47A24">
      <w:pPr>
        <w:pStyle w:val="FootnoteText"/>
        <w:rPr>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10" w:history="1">
        <w:r w:rsidRPr="00A47A24">
          <w:rPr>
            <w:rStyle w:val="Hyperlink"/>
            <w:rFonts w:ascii="Arial" w:hAnsi="Arial" w:cs="Arial"/>
            <w:sz w:val="16"/>
            <w:szCs w:val="16"/>
          </w:rPr>
          <w:t>https://www.nationalgrideso.com/charging/transmission-network-use-system-tnuos-charges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54F828A2" w:rsidR="00A0128E" w:rsidRDefault="00A0128E">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53F2"/>
    <w:multiLevelType w:val="hybridMultilevel"/>
    <w:tmpl w:val="730AC02A"/>
    <w:lvl w:ilvl="0" w:tplc="7DF6A7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D1D03"/>
    <w:multiLevelType w:val="hybridMultilevel"/>
    <w:tmpl w:val="5CA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F3DEA"/>
    <w:multiLevelType w:val="hybridMultilevel"/>
    <w:tmpl w:val="2864EE0C"/>
    <w:lvl w:ilvl="0" w:tplc="34F4C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86353"/>
    <w:multiLevelType w:val="hybridMultilevel"/>
    <w:tmpl w:val="5C582664"/>
    <w:lvl w:ilvl="0" w:tplc="7BCA7A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AB6BA2"/>
    <w:multiLevelType w:val="hybridMultilevel"/>
    <w:tmpl w:val="34FE4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C65A6"/>
    <w:multiLevelType w:val="hybridMultilevel"/>
    <w:tmpl w:val="B61AAB8E"/>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177F53"/>
    <w:multiLevelType w:val="hybridMultilevel"/>
    <w:tmpl w:val="66D09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83B62"/>
    <w:multiLevelType w:val="hybridMultilevel"/>
    <w:tmpl w:val="FAAA0F0A"/>
    <w:lvl w:ilvl="0" w:tplc="35E296D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515E8"/>
    <w:multiLevelType w:val="hybridMultilevel"/>
    <w:tmpl w:val="2B72F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90D56"/>
    <w:multiLevelType w:val="hybridMultilevel"/>
    <w:tmpl w:val="3DA67D60"/>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62BF6"/>
    <w:multiLevelType w:val="hybridMultilevel"/>
    <w:tmpl w:val="DDD84F22"/>
    <w:lvl w:ilvl="0" w:tplc="4F26D812">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B65B23"/>
    <w:multiLevelType w:val="hybridMultilevel"/>
    <w:tmpl w:val="37D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7482C"/>
    <w:multiLevelType w:val="hybridMultilevel"/>
    <w:tmpl w:val="E7D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22884"/>
    <w:multiLevelType w:val="hybridMultilevel"/>
    <w:tmpl w:val="0FF2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3132C"/>
    <w:multiLevelType w:val="hybridMultilevel"/>
    <w:tmpl w:val="175229DA"/>
    <w:lvl w:ilvl="0" w:tplc="594421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60BF1"/>
    <w:multiLevelType w:val="hybridMultilevel"/>
    <w:tmpl w:val="B81C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F28E7"/>
    <w:multiLevelType w:val="hybridMultilevel"/>
    <w:tmpl w:val="A41A0F1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2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6"/>
  </w:num>
  <w:num w:numId="11">
    <w:abstractNumId w:val="10"/>
  </w:num>
  <w:num w:numId="12">
    <w:abstractNumId w:val="5"/>
  </w:num>
  <w:num w:numId="13">
    <w:abstractNumId w:val="13"/>
  </w:num>
  <w:num w:numId="14">
    <w:abstractNumId w:val="12"/>
  </w:num>
  <w:num w:numId="15">
    <w:abstractNumId w:val="17"/>
  </w:num>
  <w:num w:numId="16">
    <w:abstractNumId w:val="19"/>
  </w:num>
  <w:num w:numId="17">
    <w:abstractNumId w:val="9"/>
  </w:num>
  <w:num w:numId="18">
    <w:abstractNumId w:val="3"/>
  </w:num>
  <w:num w:numId="19">
    <w:abstractNumId w:val="0"/>
  </w:num>
  <w:num w:numId="20">
    <w:abstractNumId w:val="4"/>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20"/>
  </w:num>
  <w:num w:numId="24">
    <w:abstractNumId w:val="15"/>
  </w:num>
  <w:num w:numId="25">
    <w:abstractNumId w:val="18"/>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es Sandoval">
    <w15:presenceInfo w15:providerId="AD" w15:userId="S::Asandoval@scottishrenewables.com::0eae91b9-9153-4958-84c0-81cee1fe8a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4778"/>
    <w:rsid w:val="00005B82"/>
    <w:rsid w:val="000104C2"/>
    <w:rsid w:val="0001365C"/>
    <w:rsid w:val="0001749F"/>
    <w:rsid w:val="00025862"/>
    <w:rsid w:val="00031324"/>
    <w:rsid w:val="00031A53"/>
    <w:rsid w:val="00033439"/>
    <w:rsid w:val="0003386B"/>
    <w:rsid w:val="00033870"/>
    <w:rsid w:val="000338FB"/>
    <w:rsid w:val="00034035"/>
    <w:rsid w:val="000457FE"/>
    <w:rsid w:val="000463A7"/>
    <w:rsid w:val="00052993"/>
    <w:rsid w:val="000538E0"/>
    <w:rsid w:val="000558F7"/>
    <w:rsid w:val="00055AB2"/>
    <w:rsid w:val="00055EF3"/>
    <w:rsid w:val="00056AE5"/>
    <w:rsid w:val="00063EBA"/>
    <w:rsid w:val="0006535D"/>
    <w:rsid w:val="00067BC0"/>
    <w:rsid w:val="000763FA"/>
    <w:rsid w:val="000804F6"/>
    <w:rsid w:val="00082545"/>
    <w:rsid w:val="00083E22"/>
    <w:rsid w:val="00084F80"/>
    <w:rsid w:val="00091094"/>
    <w:rsid w:val="00095EC1"/>
    <w:rsid w:val="000A3787"/>
    <w:rsid w:val="000A48D0"/>
    <w:rsid w:val="000B0859"/>
    <w:rsid w:val="000B2DBD"/>
    <w:rsid w:val="000B340F"/>
    <w:rsid w:val="000B39E8"/>
    <w:rsid w:val="000B4793"/>
    <w:rsid w:val="000B75FF"/>
    <w:rsid w:val="000C130F"/>
    <w:rsid w:val="000C43F3"/>
    <w:rsid w:val="000C59A9"/>
    <w:rsid w:val="000C6677"/>
    <w:rsid w:val="000C7A9D"/>
    <w:rsid w:val="000D50EB"/>
    <w:rsid w:val="000E250B"/>
    <w:rsid w:val="000E38F7"/>
    <w:rsid w:val="000E6243"/>
    <w:rsid w:val="000E726A"/>
    <w:rsid w:val="000F2F8A"/>
    <w:rsid w:val="000F6ACB"/>
    <w:rsid w:val="00102595"/>
    <w:rsid w:val="00104D25"/>
    <w:rsid w:val="001055CA"/>
    <w:rsid w:val="0011031A"/>
    <w:rsid w:val="00114592"/>
    <w:rsid w:val="0012102D"/>
    <w:rsid w:val="00124A07"/>
    <w:rsid w:val="00124F79"/>
    <w:rsid w:val="00130923"/>
    <w:rsid w:val="00132512"/>
    <w:rsid w:val="0013518E"/>
    <w:rsid w:val="00135288"/>
    <w:rsid w:val="0013693F"/>
    <w:rsid w:val="00137949"/>
    <w:rsid w:val="001411F0"/>
    <w:rsid w:val="00147D36"/>
    <w:rsid w:val="00153EF8"/>
    <w:rsid w:val="00161C1C"/>
    <w:rsid w:val="00171277"/>
    <w:rsid w:val="0017271C"/>
    <w:rsid w:val="00176A38"/>
    <w:rsid w:val="0017716D"/>
    <w:rsid w:val="00180234"/>
    <w:rsid w:val="00192E9C"/>
    <w:rsid w:val="001936D0"/>
    <w:rsid w:val="0019579E"/>
    <w:rsid w:val="001958E6"/>
    <w:rsid w:val="001A052B"/>
    <w:rsid w:val="001A084A"/>
    <w:rsid w:val="001A1BC5"/>
    <w:rsid w:val="001A7DB6"/>
    <w:rsid w:val="001B1758"/>
    <w:rsid w:val="001B5E79"/>
    <w:rsid w:val="001B6F25"/>
    <w:rsid w:val="001C1505"/>
    <w:rsid w:val="001C2BAE"/>
    <w:rsid w:val="001C3951"/>
    <w:rsid w:val="001C3E37"/>
    <w:rsid w:val="001C6634"/>
    <w:rsid w:val="001D0D8D"/>
    <w:rsid w:val="001D1141"/>
    <w:rsid w:val="001E4EF8"/>
    <w:rsid w:val="001F24FC"/>
    <w:rsid w:val="001F25B0"/>
    <w:rsid w:val="001F6B1E"/>
    <w:rsid w:val="00203DCC"/>
    <w:rsid w:val="002112AD"/>
    <w:rsid w:val="002178AC"/>
    <w:rsid w:val="00217ED4"/>
    <w:rsid w:val="00223DBA"/>
    <w:rsid w:val="00232965"/>
    <w:rsid w:val="00233308"/>
    <w:rsid w:val="00241627"/>
    <w:rsid w:val="002427C9"/>
    <w:rsid w:val="00247F08"/>
    <w:rsid w:val="002509D0"/>
    <w:rsid w:val="00254C66"/>
    <w:rsid w:val="00265021"/>
    <w:rsid w:val="00266F32"/>
    <w:rsid w:val="002707D7"/>
    <w:rsid w:val="0028477C"/>
    <w:rsid w:val="002852FF"/>
    <w:rsid w:val="0028530A"/>
    <w:rsid w:val="00287305"/>
    <w:rsid w:val="00290D1C"/>
    <w:rsid w:val="00293032"/>
    <w:rsid w:val="00294CE7"/>
    <w:rsid w:val="00297C56"/>
    <w:rsid w:val="002A426E"/>
    <w:rsid w:val="002B1CD9"/>
    <w:rsid w:val="002B22C2"/>
    <w:rsid w:val="002B6A2B"/>
    <w:rsid w:val="002C3A72"/>
    <w:rsid w:val="002D087C"/>
    <w:rsid w:val="002D109E"/>
    <w:rsid w:val="002D14FF"/>
    <w:rsid w:val="002D1A30"/>
    <w:rsid w:val="002D22AA"/>
    <w:rsid w:val="002D48DB"/>
    <w:rsid w:val="002D7FDA"/>
    <w:rsid w:val="002E612B"/>
    <w:rsid w:val="002E672B"/>
    <w:rsid w:val="002F214A"/>
    <w:rsid w:val="002F7080"/>
    <w:rsid w:val="003001D4"/>
    <w:rsid w:val="00306991"/>
    <w:rsid w:val="00314025"/>
    <w:rsid w:val="00317EE6"/>
    <w:rsid w:val="00324E86"/>
    <w:rsid w:val="0033018E"/>
    <w:rsid w:val="00332CE2"/>
    <w:rsid w:val="00334631"/>
    <w:rsid w:val="00344652"/>
    <w:rsid w:val="00344A91"/>
    <w:rsid w:val="003470A2"/>
    <w:rsid w:val="0035230C"/>
    <w:rsid w:val="00353DA9"/>
    <w:rsid w:val="00354DA1"/>
    <w:rsid w:val="00357001"/>
    <w:rsid w:val="003606F8"/>
    <w:rsid w:val="003669D6"/>
    <w:rsid w:val="00367EBD"/>
    <w:rsid w:val="00367EE0"/>
    <w:rsid w:val="003713D0"/>
    <w:rsid w:val="003757CA"/>
    <w:rsid w:val="003760A8"/>
    <w:rsid w:val="00392274"/>
    <w:rsid w:val="003C1FC0"/>
    <w:rsid w:val="003C6D01"/>
    <w:rsid w:val="003C7FF8"/>
    <w:rsid w:val="003D5666"/>
    <w:rsid w:val="003D7F62"/>
    <w:rsid w:val="003E263F"/>
    <w:rsid w:val="003E6456"/>
    <w:rsid w:val="003E6BC7"/>
    <w:rsid w:val="003F0E99"/>
    <w:rsid w:val="00400BED"/>
    <w:rsid w:val="00401702"/>
    <w:rsid w:val="00404274"/>
    <w:rsid w:val="00404821"/>
    <w:rsid w:val="00407969"/>
    <w:rsid w:val="00410AE0"/>
    <w:rsid w:val="004114D6"/>
    <w:rsid w:val="004127BD"/>
    <w:rsid w:val="00413450"/>
    <w:rsid w:val="00415242"/>
    <w:rsid w:val="00417524"/>
    <w:rsid w:val="00422108"/>
    <w:rsid w:val="00422354"/>
    <w:rsid w:val="004252CC"/>
    <w:rsid w:val="00426537"/>
    <w:rsid w:val="00427F03"/>
    <w:rsid w:val="004309D9"/>
    <w:rsid w:val="00434EDB"/>
    <w:rsid w:val="00435A79"/>
    <w:rsid w:val="00436859"/>
    <w:rsid w:val="004369E5"/>
    <w:rsid w:val="00441420"/>
    <w:rsid w:val="0044247C"/>
    <w:rsid w:val="004447C0"/>
    <w:rsid w:val="004543FD"/>
    <w:rsid w:val="00454526"/>
    <w:rsid w:val="00455A40"/>
    <w:rsid w:val="004600E9"/>
    <w:rsid w:val="00464C4D"/>
    <w:rsid w:val="0046642D"/>
    <w:rsid w:val="00470E96"/>
    <w:rsid w:val="0047397F"/>
    <w:rsid w:val="00473DF5"/>
    <w:rsid w:val="00473FA6"/>
    <w:rsid w:val="004744B8"/>
    <w:rsid w:val="004768F3"/>
    <w:rsid w:val="00480294"/>
    <w:rsid w:val="00480A97"/>
    <w:rsid w:val="00481C05"/>
    <w:rsid w:val="00485B23"/>
    <w:rsid w:val="00491A49"/>
    <w:rsid w:val="004951DD"/>
    <w:rsid w:val="004A0DAE"/>
    <w:rsid w:val="004A3151"/>
    <w:rsid w:val="004A73D0"/>
    <w:rsid w:val="004B07EF"/>
    <w:rsid w:val="004B7230"/>
    <w:rsid w:val="004B7A7E"/>
    <w:rsid w:val="004C05DF"/>
    <w:rsid w:val="004C1930"/>
    <w:rsid w:val="004C32AE"/>
    <w:rsid w:val="004C7643"/>
    <w:rsid w:val="004D3409"/>
    <w:rsid w:val="004D3520"/>
    <w:rsid w:val="004D46CB"/>
    <w:rsid w:val="004D788E"/>
    <w:rsid w:val="004D7C06"/>
    <w:rsid w:val="004E454B"/>
    <w:rsid w:val="004E51E6"/>
    <w:rsid w:val="004F22E2"/>
    <w:rsid w:val="004F5394"/>
    <w:rsid w:val="004F5AC4"/>
    <w:rsid w:val="0050210D"/>
    <w:rsid w:val="00503375"/>
    <w:rsid w:val="005034A0"/>
    <w:rsid w:val="00503CD5"/>
    <w:rsid w:val="00504A9F"/>
    <w:rsid w:val="00504D7C"/>
    <w:rsid w:val="0050653F"/>
    <w:rsid w:val="0051171F"/>
    <w:rsid w:val="005150D9"/>
    <w:rsid w:val="00524A29"/>
    <w:rsid w:val="0053000E"/>
    <w:rsid w:val="0053475E"/>
    <w:rsid w:val="00534EE6"/>
    <w:rsid w:val="00535D9D"/>
    <w:rsid w:val="0054427E"/>
    <w:rsid w:val="00545107"/>
    <w:rsid w:val="00550485"/>
    <w:rsid w:val="00552EDF"/>
    <w:rsid w:val="005574CF"/>
    <w:rsid w:val="00563C81"/>
    <w:rsid w:val="00573A6B"/>
    <w:rsid w:val="005809B6"/>
    <w:rsid w:val="00581ABE"/>
    <w:rsid w:val="005906D0"/>
    <w:rsid w:val="00591AFF"/>
    <w:rsid w:val="005A10CC"/>
    <w:rsid w:val="005A180B"/>
    <w:rsid w:val="005A1BFA"/>
    <w:rsid w:val="005A4DDD"/>
    <w:rsid w:val="005B3B6E"/>
    <w:rsid w:val="005B4692"/>
    <w:rsid w:val="005B5385"/>
    <w:rsid w:val="005C015F"/>
    <w:rsid w:val="005C5111"/>
    <w:rsid w:val="005E50D9"/>
    <w:rsid w:val="005F3D23"/>
    <w:rsid w:val="00600164"/>
    <w:rsid w:val="0060045A"/>
    <w:rsid w:val="006070D6"/>
    <w:rsid w:val="00611183"/>
    <w:rsid w:val="006117D4"/>
    <w:rsid w:val="00616805"/>
    <w:rsid w:val="00625F74"/>
    <w:rsid w:val="006362FA"/>
    <w:rsid w:val="006408AE"/>
    <w:rsid w:val="006427E5"/>
    <w:rsid w:val="00651292"/>
    <w:rsid w:val="00651CF4"/>
    <w:rsid w:val="0065345E"/>
    <w:rsid w:val="00653B17"/>
    <w:rsid w:val="00656342"/>
    <w:rsid w:val="00656373"/>
    <w:rsid w:val="00662089"/>
    <w:rsid w:val="006652E2"/>
    <w:rsid w:val="006706C3"/>
    <w:rsid w:val="00673242"/>
    <w:rsid w:val="00673602"/>
    <w:rsid w:val="00677EC3"/>
    <w:rsid w:val="006806AC"/>
    <w:rsid w:val="00681870"/>
    <w:rsid w:val="006866DA"/>
    <w:rsid w:val="0068762C"/>
    <w:rsid w:val="00695311"/>
    <w:rsid w:val="00696CDE"/>
    <w:rsid w:val="006A3E4A"/>
    <w:rsid w:val="006A53A7"/>
    <w:rsid w:val="006A7026"/>
    <w:rsid w:val="006B139F"/>
    <w:rsid w:val="006B2921"/>
    <w:rsid w:val="006C2AD4"/>
    <w:rsid w:val="006C4398"/>
    <w:rsid w:val="006C5A63"/>
    <w:rsid w:val="006D5C30"/>
    <w:rsid w:val="006D7DD5"/>
    <w:rsid w:val="006E02B0"/>
    <w:rsid w:val="006E1064"/>
    <w:rsid w:val="006E190E"/>
    <w:rsid w:val="006E1F5D"/>
    <w:rsid w:val="006E37CE"/>
    <w:rsid w:val="006F24E3"/>
    <w:rsid w:val="006F2FCF"/>
    <w:rsid w:val="006F3D88"/>
    <w:rsid w:val="006F3E58"/>
    <w:rsid w:val="006F4697"/>
    <w:rsid w:val="00701CDE"/>
    <w:rsid w:val="00701EA6"/>
    <w:rsid w:val="0070527D"/>
    <w:rsid w:val="00706284"/>
    <w:rsid w:val="00706E03"/>
    <w:rsid w:val="00711DEA"/>
    <w:rsid w:val="00714211"/>
    <w:rsid w:val="00714DF6"/>
    <w:rsid w:val="007220A6"/>
    <w:rsid w:val="00723491"/>
    <w:rsid w:val="00723984"/>
    <w:rsid w:val="0073111A"/>
    <w:rsid w:val="00735013"/>
    <w:rsid w:val="00736DDF"/>
    <w:rsid w:val="00760E98"/>
    <w:rsid w:val="00764BBB"/>
    <w:rsid w:val="0076622E"/>
    <w:rsid w:val="00770B91"/>
    <w:rsid w:val="00774E4C"/>
    <w:rsid w:val="007803F9"/>
    <w:rsid w:val="00781866"/>
    <w:rsid w:val="00781C8E"/>
    <w:rsid w:val="007825CE"/>
    <w:rsid w:val="00784388"/>
    <w:rsid w:val="0078537D"/>
    <w:rsid w:val="00790C69"/>
    <w:rsid w:val="007913C9"/>
    <w:rsid w:val="00792195"/>
    <w:rsid w:val="007973F9"/>
    <w:rsid w:val="007979A2"/>
    <w:rsid w:val="007A0718"/>
    <w:rsid w:val="007A0A14"/>
    <w:rsid w:val="007A214C"/>
    <w:rsid w:val="007A2FCF"/>
    <w:rsid w:val="007A7413"/>
    <w:rsid w:val="007A7AFA"/>
    <w:rsid w:val="007B0A79"/>
    <w:rsid w:val="007B2CC7"/>
    <w:rsid w:val="007B5FB8"/>
    <w:rsid w:val="007C031D"/>
    <w:rsid w:val="007C3C2B"/>
    <w:rsid w:val="007D13FD"/>
    <w:rsid w:val="007D43A0"/>
    <w:rsid w:val="007D77E6"/>
    <w:rsid w:val="007E60E8"/>
    <w:rsid w:val="007E7321"/>
    <w:rsid w:val="007F26D0"/>
    <w:rsid w:val="0080219F"/>
    <w:rsid w:val="008023E9"/>
    <w:rsid w:val="0080461F"/>
    <w:rsid w:val="008110C3"/>
    <w:rsid w:val="00815BC1"/>
    <w:rsid w:val="0082191A"/>
    <w:rsid w:val="00824113"/>
    <w:rsid w:val="00827071"/>
    <w:rsid w:val="0082786F"/>
    <w:rsid w:val="00835172"/>
    <w:rsid w:val="008352B1"/>
    <w:rsid w:val="0084180C"/>
    <w:rsid w:val="0084324D"/>
    <w:rsid w:val="00846297"/>
    <w:rsid w:val="00851FB7"/>
    <w:rsid w:val="00852329"/>
    <w:rsid w:val="0085679E"/>
    <w:rsid w:val="00857B0A"/>
    <w:rsid w:val="00864FF3"/>
    <w:rsid w:val="008672C2"/>
    <w:rsid w:val="00867B1E"/>
    <w:rsid w:val="00870D7F"/>
    <w:rsid w:val="0087188B"/>
    <w:rsid w:val="008734ED"/>
    <w:rsid w:val="008937E8"/>
    <w:rsid w:val="00894182"/>
    <w:rsid w:val="008A0DB2"/>
    <w:rsid w:val="008A4661"/>
    <w:rsid w:val="008B07D5"/>
    <w:rsid w:val="008B3B87"/>
    <w:rsid w:val="008B4E0F"/>
    <w:rsid w:val="008B75AA"/>
    <w:rsid w:val="008C2DDB"/>
    <w:rsid w:val="008C708C"/>
    <w:rsid w:val="008C7350"/>
    <w:rsid w:val="008D2DB8"/>
    <w:rsid w:val="008D471E"/>
    <w:rsid w:val="008D6904"/>
    <w:rsid w:val="008E272C"/>
    <w:rsid w:val="008E2D3B"/>
    <w:rsid w:val="008E5BE1"/>
    <w:rsid w:val="008E5CAF"/>
    <w:rsid w:val="008F0925"/>
    <w:rsid w:val="008F1CCA"/>
    <w:rsid w:val="008F4B41"/>
    <w:rsid w:val="008F681B"/>
    <w:rsid w:val="008F79FE"/>
    <w:rsid w:val="008F7CA6"/>
    <w:rsid w:val="0090203A"/>
    <w:rsid w:val="00902B06"/>
    <w:rsid w:val="00915A30"/>
    <w:rsid w:val="009257D2"/>
    <w:rsid w:val="00926E81"/>
    <w:rsid w:val="0094314E"/>
    <w:rsid w:val="009464F3"/>
    <w:rsid w:val="00946A82"/>
    <w:rsid w:val="009477FD"/>
    <w:rsid w:val="0095264F"/>
    <w:rsid w:val="00953F39"/>
    <w:rsid w:val="00956D4B"/>
    <w:rsid w:val="00961F53"/>
    <w:rsid w:val="00962B99"/>
    <w:rsid w:val="009645C9"/>
    <w:rsid w:val="00964BED"/>
    <w:rsid w:val="009717AE"/>
    <w:rsid w:val="0098086E"/>
    <w:rsid w:val="00981853"/>
    <w:rsid w:val="00987617"/>
    <w:rsid w:val="00987982"/>
    <w:rsid w:val="00990827"/>
    <w:rsid w:val="00990A7B"/>
    <w:rsid w:val="009946EA"/>
    <w:rsid w:val="00997771"/>
    <w:rsid w:val="00997EDA"/>
    <w:rsid w:val="009A43DA"/>
    <w:rsid w:val="009A72A3"/>
    <w:rsid w:val="009A754A"/>
    <w:rsid w:val="009A7A16"/>
    <w:rsid w:val="009B2E1A"/>
    <w:rsid w:val="009D0DC1"/>
    <w:rsid w:val="009D3BD2"/>
    <w:rsid w:val="009D3D02"/>
    <w:rsid w:val="009D4BB2"/>
    <w:rsid w:val="009D7508"/>
    <w:rsid w:val="009D757D"/>
    <w:rsid w:val="009E0E41"/>
    <w:rsid w:val="009E3DF4"/>
    <w:rsid w:val="009F2AC4"/>
    <w:rsid w:val="009F2ED1"/>
    <w:rsid w:val="00A00392"/>
    <w:rsid w:val="00A0128E"/>
    <w:rsid w:val="00A03F1A"/>
    <w:rsid w:val="00A044AF"/>
    <w:rsid w:val="00A045F1"/>
    <w:rsid w:val="00A06497"/>
    <w:rsid w:val="00A06739"/>
    <w:rsid w:val="00A13D7D"/>
    <w:rsid w:val="00A13DDC"/>
    <w:rsid w:val="00A14E33"/>
    <w:rsid w:val="00A14F27"/>
    <w:rsid w:val="00A15277"/>
    <w:rsid w:val="00A16CD1"/>
    <w:rsid w:val="00A239C7"/>
    <w:rsid w:val="00A26F73"/>
    <w:rsid w:val="00A27518"/>
    <w:rsid w:val="00A27FC6"/>
    <w:rsid w:val="00A34ADE"/>
    <w:rsid w:val="00A40215"/>
    <w:rsid w:val="00A41788"/>
    <w:rsid w:val="00A42DFB"/>
    <w:rsid w:val="00A43FD4"/>
    <w:rsid w:val="00A462E4"/>
    <w:rsid w:val="00A47A24"/>
    <w:rsid w:val="00A511AF"/>
    <w:rsid w:val="00A552B9"/>
    <w:rsid w:val="00A555B5"/>
    <w:rsid w:val="00A56159"/>
    <w:rsid w:val="00A57C3F"/>
    <w:rsid w:val="00A61ECE"/>
    <w:rsid w:val="00A62391"/>
    <w:rsid w:val="00A62B23"/>
    <w:rsid w:val="00A64F96"/>
    <w:rsid w:val="00A64FB9"/>
    <w:rsid w:val="00A66290"/>
    <w:rsid w:val="00A74737"/>
    <w:rsid w:val="00A85465"/>
    <w:rsid w:val="00A85B40"/>
    <w:rsid w:val="00A87D5E"/>
    <w:rsid w:val="00A92A53"/>
    <w:rsid w:val="00A94110"/>
    <w:rsid w:val="00A9497F"/>
    <w:rsid w:val="00AA4C25"/>
    <w:rsid w:val="00AA7966"/>
    <w:rsid w:val="00AB3359"/>
    <w:rsid w:val="00AB3C3F"/>
    <w:rsid w:val="00AC1A6A"/>
    <w:rsid w:val="00AC3E6A"/>
    <w:rsid w:val="00AC447F"/>
    <w:rsid w:val="00AC61BE"/>
    <w:rsid w:val="00AC699C"/>
    <w:rsid w:val="00AD01C3"/>
    <w:rsid w:val="00AD3536"/>
    <w:rsid w:val="00AD370D"/>
    <w:rsid w:val="00AE09B0"/>
    <w:rsid w:val="00AE0E4F"/>
    <w:rsid w:val="00AE2A27"/>
    <w:rsid w:val="00AE618E"/>
    <w:rsid w:val="00AE7140"/>
    <w:rsid w:val="00AE74B1"/>
    <w:rsid w:val="00AF21D8"/>
    <w:rsid w:val="00AF2D0F"/>
    <w:rsid w:val="00AF7757"/>
    <w:rsid w:val="00B0430C"/>
    <w:rsid w:val="00B11DC0"/>
    <w:rsid w:val="00B12F2E"/>
    <w:rsid w:val="00B16D30"/>
    <w:rsid w:val="00B17D3F"/>
    <w:rsid w:val="00B206A8"/>
    <w:rsid w:val="00B23642"/>
    <w:rsid w:val="00B3007A"/>
    <w:rsid w:val="00B34759"/>
    <w:rsid w:val="00B35908"/>
    <w:rsid w:val="00B41F5C"/>
    <w:rsid w:val="00B50992"/>
    <w:rsid w:val="00B53F68"/>
    <w:rsid w:val="00B55AA5"/>
    <w:rsid w:val="00B57DF0"/>
    <w:rsid w:val="00B62A52"/>
    <w:rsid w:val="00B63987"/>
    <w:rsid w:val="00B670ED"/>
    <w:rsid w:val="00B6783E"/>
    <w:rsid w:val="00B70181"/>
    <w:rsid w:val="00B74454"/>
    <w:rsid w:val="00B74D84"/>
    <w:rsid w:val="00B760DD"/>
    <w:rsid w:val="00B84251"/>
    <w:rsid w:val="00B87615"/>
    <w:rsid w:val="00B912C2"/>
    <w:rsid w:val="00B91722"/>
    <w:rsid w:val="00B9309D"/>
    <w:rsid w:val="00B9339C"/>
    <w:rsid w:val="00B96DC7"/>
    <w:rsid w:val="00BA40F9"/>
    <w:rsid w:val="00BA5E48"/>
    <w:rsid w:val="00BA606A"/>
    <w:rsid w:val="00BA6AF6"/>
    <w:rsid w:val="00BB3BFC"/>
    <w:rsid w:val="00BB50A4"/>
    <w:rsid w:val="00BB547E"/>
    <w:rsid w:val="00BC053A"/>
    <w:rsid w:val="00BC2001"/>
    <w:rsid w:val="00BC383E"/>
    <w:rsid w:val="00BC38E2"/>
    <w:rsid w:val="00BC5A9F"/>
    <w:rsid w:val="00BD774C"/>
    <w:rsid w:val="00BE0956"/>
    <w:rsid w:val="00BE1E2A"/>
    <w:rsid w:val="00BE682F"/>
    <w:rsid w:val="00BE791A"/>
    <w:rsid w:val="00BF05DD"/>
    <w:rsid w:val="00BF1E73"/>
    <w:rsid w:val="00BF5AEC"/>
    <w:rsid w:val="00BF5BE3"/>
    <w:rsid w:val="00BF67E9"/>
    <w:rsid w:val="00BF70EE"/>
    <w:rsid w:val="00C03678"/>
    <w:rsid w:val="00C1389A"/>
    <w:rsid w:val="00C1578E"/>
    <w:rsid w:val="00C16C20"/>
    <w:rsid w:val="00C23BA8"/>
    <w:rsid w:val="00C2653E"/>
    <w:rsid w:val="00C35D12"/>
    <w:rsid w:val="00C40D18"/>
    <w:rsid w:val="00C4161B"/>
    <w:rsid w:val="00C44637"/>
    <w:rsid w:val="00C46094"/>
    <w:rsid w:val="00C526BB"/>
    <w:rsid w:val="00C526F2"/>
    <w:rsid w:val="00C574AC"/>
    <w:rsid w:val="00C60EB8"/>
    <w:rsid w:val="00C6338D"/>
    <w:rsid w:val="00C6537D"/>
    <w:rsid w:val="00C65B00"/>
    <w:rsid w:val="00C65DDA"/>
    <w:rsid w:val="00C728D8"/>
    <w:rsid w:val="00C801CB"/>
    <w:rsid w:val="00C8153B"/>
    <w:rsid w:val="00C82D70"/>
    <w:rsid w:val="00C833EE"/>
    <w:rsid w:val="00C83BAC"/>
    <w:rsid w:val="00C922CF"/>
    <w:rsid w:val="00C955F1"/>
    <w:rsid w:val="00C955FA"/>
    <w:rsid w:val="00C96BB8"/>
    <w:rsid w:val="00CA22FB"/>
    <w:rsid w:val="00CA3CD0"/>
    <w:rsid w:val="00CA5A11"/>
    <w:rsid w:val="00CB1850"/>
    <w:rsid w:val="00CB2B0E"/>
    <w:rsid w:val="00CC1038"/>
    <w:rsid w:val="00CC10E8"/>
    <w:rsid w:val="00CC356F"/>
    <w:rsid w:val="00CC45A3"/>
    <w:rsid w:val="00CC7489"/>
    <w:rsid w:val="00CD3FB5"/>
    <w:rsid w:val="00CD7B70"/>
    <w:rsid w:val="00CE527A"/>
    <w:rsid w:val="00CE6F2B"/>
    <w:rsid w:val="00CE7295"/>
    <w:rsid w:val="00CF26FD"/>
    <w:rsid w:val="00CF2843"/>
    <w:rsid w:val="00CF3485"/>
    <w:rsid w:val="00CF479C"/>
    <w:rsid w:val="00CF55D2"/>
    <w:rsid w:val="00D00BFE"/>
    <w:rsid w:val="00D023EF"/>
    <w:rsid w:val="00D044F6"/>
    <w:rsid w:val="00D04E9D"/>
    <w:rsid w:val="00D11040"/>
    <w:rsid w:val="00D11898"/>
    <w:rsid w:val="00D11A7C"/>
    <w:rsid w:val="00D13500"/>
    <w:rsid w:val="00D17AC9"/>
    <w:rsid w:val="00D17AE1"/>
    <w:rsid w:val="00D23F51"/>
    <w:rsid w:val="00D25ED4"/>
    <w:rsid w:val="00D27F9E"/>
    <w:rsid w:val="00D3494F"/>
    <w:rsid w:val="00D35EF5"/>
    <w:rsid w:val="00D360A9"/>
    <w:rsid w:val="00D37A8E"/>
    <w:rsid w:val="00D41BFD"/>
    <w:rsid w:val="00D42814"/>
    <w:rsid w:val="00D45E87"/>
    <w:rsid w:val="00D51A2A"/>
    <w:rsid w:val="00D63AC0"/>
    <w:rsid w:val="00D710C9"/>
    <w:rsid w:val="00D72A3B"/>
    <w:rsid w:val="00D74145"/>
    <w:rsid w:val="00D802E1"/>
    <w:rsid w:val="00D84FC0"/>
    <w:rsid w:val="00D85B8B"/>
    <w:rsid w:val="00DA428B"/>
    <w:rsid w:val="00DB03C1"/>
    <w:rsid w:val="00DB4433"/>
    <w:rsid w:val="00DB479F"/>
    <w:rsid w:val="00DB6A5C"/>
    <w:rsid w:val="00DC0112"/>
    <w:rsid w:val="00DC10C5"/>
    <w:rsid w:val="00DC1199"/>
    <w:rsid w:val="00DC5972"/>
    <w:rsid w:val="00DD5A70"/>
    <w:rsid w:val="00DE296E"/>
    <w:rsid w:val="00DF6F61"/>
    <w:rsid w:val="00E01573"/>
    <w:rsid w:val="00E050C0"/>
    <w:rsid w:val="00E072F0"/>
    <w:rsid w:val="00E07752"/>
    <w:rsid w:val="00E11ADE"/>
    <w:rsid w:val="00E12C79"/>
    <w:rsid w:val="00E1345F"/>
    <w:rsid w:val="00E14008"/>
    <w:rsid w:val="00E1551D"/>
    <w:rsid w:val="00E1574A"/>
    <w:rsid w:val="00E2016F"/>
    <w:rsid w:val="00E31512"/>
    <w:rsid w:val="00E32C0A"/>
    <w:rsid w:val="00E33C36"/>
    <w:rsid w:val="00E34EBB"/>
    <w:rsid w:val="00E36DEE"/>
    <w:rsid w:val="00E37327"/>
    <w:rsid w:val="00E37595"/>
    <w:rsid w:val="00E4112A"/>
    <w:rsid w:val="00E43E6A"/>
    <w:rsid w:val="00E504F3"/>
    <w:rsid w:val="00E52EA7"/>
    <w:rsid w:val="00E569EC"/>
    <w:rsid w:val="00E76DD1"/>
    <w:rsid w:val="00E80729"/>
    <w:rsid w:val="00E8448F"/>
    <w:rsid w:val="00E87187"/>
    <w:rsid w:val="00EA14FA"/>
    <w:rsid w:val="00EB5A7C"/>
    <w:rsid w:val="00EC7255"/>
    <w:rsid w:val="00ED43AB"/>
    <w:rsid w:val="00ED4900"/>
    <w:rsid w:val="00EE1C40"/>
    <w:rsid w:val="00EE273A"/>
    <w:rsid w:val="00EE3559"/>
    <w:rsid w:val="00EE3D91"/>
    <w:rsid w:val="00EE5F1D"/>
    <w:rsid w:val="00EE6D42"/>
    <w:rsid w:val="00EF4B1D"/>
    <w:rsid w:val="00EF6C00"/>
    <w:rsid w:val="00EF6E08"/>
    <w:rsid w:val="00EF7A8C"/>
    <w:rsid w:val="00EF7C25"/>
    <w:rsid w:val="00F0160B"/>
    <w:rsid w:val="00F04C44"/>
    <w:rsid w:val="00F127AF"/>
    <w:rsid w:val="00F13578"/>
    <w:rsid w:val="00F24334"/>
    <w:rsid w:val="00F257CC"/>
    <w:rsid w:val="00F30DB2"/>
    <w:rsid w:val="00F33711"/>
    <w:rsid w:val="00F33DA2"/>
    <w:rsid w:val="00F4125F"/>
    <w:rsid w:val="00F45879"/>
    <w:rsid w:val="00F45FFB"/>
    <w:rsid w:val="00F50840"/>
    <w:rsid w:val="00F50844"/>
    <w:rsid w:val="00F55FAB"/>
    <w:rsid w:val="00F604EE"/>
    <w:rsid w:val="00F60941"/>
    <w:rsid w:val="00F66312"/>
    <w:rsid w:val="00F72717"/>
    <w:rsid w:val="00F72A7F"/>
    <w:rsid w:val="00F72BA5"/>
    <w:rsid w:val="00F745B4"/>
    <w:rsid w:val="00F7564A"/>
    <w:rsid w:val="00F85B1F"/>
    <w:rsid w:val="00F94DD6"/>
    <w:rsid w:val="00FA05CD"/>
    <w:rsid w:val="00FA24C2"/>
    <w:rsid w:val="00FA6FD4"/>
    <w:rsid w:val="00FA705D"/>
    <w:rsid w:val="00FA7F73"/>
    <w:rsid w:val="00FB3054"/>
    <w:rsid w:val="00FB373B"/>
    <w:rsid w:val="00FB7B52"/>
    <w:rsid w:val="00FC0124"/>
    <w:rsid w:val="00FC1168"/>
    <w:rsid w:val="00FC2DB1"/>
    <w:rsid w:val="00FC3447"/>
    <w:rsid w:val="00FC516F"/>
    <w:rsid w:val="00FD4621"/>
    <w:rsid w:val="00FD5FD2"/>
    <w:rsid w:val="00FD7FCE"/>
    <w:rsid w:val="00FE0453"/>
    <w:rsid w:val="00FE249A"/>
    <w:rsid w:val="00FE26FF"/>
    <w:rsid w:val="00FE39B0"/>
    <w:rsid w:val="00FE4DC8"/>
    <w:rsid w:val="00FE5DAD"/>
    <w:rsid w:val="00FF2195"/>
    <w:rsid w:val="00FF56A9"/>
    <w:rsid w:val="00FF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B53F68"/>
    <w:rPr>
      <w:rFonts w:ascii="Arial" w:hAnsi="Arial"/>
    </w:rPr>
  </w:style>
  <w:style w:type="character" w:styleId="FollowedHyperlink">
    <w:name w:val="FollowedHyperlink"/>
    <w:basedOn w:val="DefaultParagraphFont"/>
    <w:uiPriority w:val="99"/>
    <w:semiHidden/>
    <w:unhideWhenUsed/>
    <w:rsid w:val="00953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696859276">
      <w:bodyDiv w:val="1"/>
      <w:marLeft w:val="0"/>
      <w:marRight w:val="0"/>
      <w:marTop w:val="0"/>
      <w:marBottom w:val="0"/>
      <w:divBdr>
        <w:top w:val="none" w:sz="0" w:space="0" w:color="auto"/>
        <w:left w:val="none" w:sz="0" w:space="0" w:color="auto"/>
        <w:bottom w:val="none" w:sz="0" w:space="0" w:color="auto"/>
        <w:right w:val="none" w:sz="0" w:space="0" w:color="auto"/>
      </w:divBdr>
    </w:div>
    <w:div w:id="728652894">
      <w:bodyDiv w:val="1"/>
      <w:marLeft w:val="0"/>
      <w:marRight w:val="0"/>
      <w:marTop w:val="0"/>
      <w:marBottom w:val="0"/>
      <w:divBdr>
        <w:top w:val="none" w:sz="0" w:space="0" w:color="auto"/>
        <w:left w:val="none" w:sz="0" w:space="0" w:color="auto"/>
        <w:bottom w:val="none" w:sz="0" w:space="0" w:color="auto"/>
        <w:right w:val="none" w:sz="0" w:space="0" w:color="auto"/>
      </w:divBdr>
    </w:div>
    <w:div w:id="785465832">
      <w:bodyDiv w:val="1"/>
      <w:marLeft w:val="0"/>
      <w:marRight w:val="0"/>
      <w:marTop w:val="0"/>
      <w:marBottom w:val="0"/>
      <w:divBdr>
        <w:top w:val="none" w:sz="0" w:space="0" w:color="auto"/>
        <w:left w:val="none" w:sz="0" w:space="0" w:color="auto"/>
        <w:bottom w:val="none" w:sz="0" w:space="0" w:color="auto"/>
        <w:right w:val="none" w:sz="0" w:space="0" w:color="auto"/>
      </w:divBdr>
    </w:div>
    <w:div w:id="928848131">
      <w:bodyDiv w:val="1"/>
      <w:marLeft w:val="0"/>
      <w:marRight w:val="0"/>
      <w:marTop w:val="0"/>
      <w:marBottom w:val="0"/>
      <w:divBdr>
        <w:top w:val="none" w:sz="0" w:space="0" w:color="auto"/>
        <w:left w:val="none" w:sz="0" w:space="0" w:color="auto"/>
        <w:bottom w:val="none" w:sz="0" w:space="0" w:color="auto"/>
        <w:right w:val="none" w:sz="0" w:space="0" w:color="auto"/>
      </w:divBdr>
    </w:div>
    <w:div w:id="936862725">
      <w:bodyDiv w:val="1"/>
      <w:marLeft w:val="0"/>
      <w:marRight w:val="0"/>
      <w:marTop w:val="0"/>
      <w:marBottom w:val="0"/>
      <w:divBdr>
        <w:top w:val="none" w:sz="0" w:space="0" w:color="auto"/>
        <w:left w:val="none" w:sz="0" w:space="0" w:color="auto"/>
        <w:bottom w:val="none" w:sz="0" w:space="0" w:color="auto"/>
        <w:right w:val="none" w:sz="0" w:space="0" w:color="auto"/>
      </w:divBdr>
    </w:div>
    <w:div w:id="986671330">
      <w:bodyDiv w:val="1"/>
      <w:marLeft w:val="0"/>
      <w:marRight w:val="0"/>
      <w:marTop w:val="0"/>
      <w:marBottom w:val="0"/>
      <w:divBdr>
        <w:top w:val="none" w:sz="0" w:space="0" w:color="auto"/>
        <w:left w:val="none" w:sz="0" w:space="0" w:color="auto"/>
        <w:bottom w:val="none" w:sz="0" w:space="0" w:color="auto"/>
        <w:right w:val="none" w:sz="0" w:space="0" w:color="auto"/>
      </w:divBdr>
    </w:div>
    <w:div w:id="102833886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094130989">
      <w:bodyDiv w:val="1"/>
      <w:marLeft w:val="0"/>
      <w:marRight w:val="0"/>
      <w:marTop w:val="0"/>
      <w:marBottom w:val="0"/>
      <w:divBdr>
        <w:top w:val="none" w:sz="0" w:space="0" w:color="auto"/>
        <w:left w:val="none" w:sz="0" w:space="0" w:color="auto"/>
        <w:bottom w:val="none" w:sz="0" w:space="0" w:color="auto"/>
        <w:right w:val="none" w:sz="0" w:space="0" w:color="auto"/>
      </w:divBdr>
    </w:div>
    <w:div w:id="1099108038">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134132139">
      <w:bodyDiv w:val="1"/>
      <w:marLeft w:val="0"/>
      <w:marRight w:val="0"/>
      <w:marTop w:val="0"/>
      <w:marBottom w:val="0"/>
      <w:divBdr>
        <w:top w:val="none" w:sz="0" w:space="0" w:color="auto"/>
        <w:left w:val="none" w:sz="0" w:space="0" w:color="auto"/>
        <w:bottom w:val="none" w:sz="0" w:space="0" w:color="auto"/>
        <w:right w:val="none" w:sz="0" w:space="0" w:color="auto"/>
      </w:divBdr>
    </w:div>
    <w:div w:id="1442456352">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597589309">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51342291">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tureChargingandAccess@ofgem.gov.uk"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ontracts-for-difference-cfd-second-allocation-round-results" TargetMode="External"/><Relationship Id="rId3" Type="http://schemas.openxmlformats.org/officeDocument/2006/relationships/hyperlink" Target="https://www.ssen-transmission.co.uk/news-views/articles/2021/2/ssen-transmission-calls-for-reform-of-unfair-and-volatile-charging-regime/" TargetMode="External"/><Relationship Id="rId7" Type="http://schemas.openxmlformats.org/officeDocument/2006/relationships/hyperlink" Target="https://www.gov.uk/government/publications/contracts-for-difference-cfd-allocation-round-one-outcome" TargetMode="External"/><Relationship Id="rId2" Type="http://schemas.openxmlformats.org/officeDocument/2006/relationships/hyperlink" Target="https://www.nationalgrideso.com/future-energy/future-energy-scenarios/fes-2021" TargetMode="External"/><Relationship Id="rId1" Type="http://schemas.openxmlformats.org/officeDocument/2006/relationships/hyperlink" Target="https://www.scottishrenewables.com/publications/598-grid-charging-reforms-new-report-by-baringa-consultants-for-srruk" TargetMode="External"/><Relationship Id="rId6" Type="http://schemas.openxmlformats.org/officeDocument/2006/relationships/hyperlink" Target="https://www.ssen-transmission.co.uk/news-views/articles/2021/2/ssen-transmission-calls-for-reform-of-unfair-and-volatile-charging-regime/" TargetMode="External"/><Relationship Id="rId5" Type="http://schemas.openxmlformats.org/officeDocument/2006/relationships/hyperlink" Target="https://www.gov.scot/publications/onshore-wind-policy-statement-9781788515283/" TargetMode="External"/><Relationship Id="rId10" Type="http://schemas.openxmlformats.org/officeDocument/2006/relationships/hyperlink" Target="https://www.nationalgrideso.com/charging/transmission-network-use-system-tnuos-charges" TargetMode="External"/><Relationship Id="rId4" Type="http://schemas.openxmlformats.org/officeDocument/2006/relationships/hyperlink" Target="https://www.gov.uk/government/publications/energy-white-paper-powering-our-net-zero-future" TargetMode="External"/><Relationship Id="rId9" Type="http://schemas.openxmlformats.org/officeDocument/2006/relationships/hyperlink" Target="https://www.gov.uk/government/publications/contracts-for-difference-cfd-allocation-round-3-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3.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customXml/itemProps2.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3.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C1FBF-A3D4-4936-A804-2682A452D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14</Pages>
  <Words>6552</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99</cp:revision>
  <cp:lastPrinted>2019-02-25T13:28:00Z</cp:lastPrinted>
  <dcterms:created xsi:type="dcterms:W3CDTF">2021-07-29T18:56:00Z</dcterms:created>
  <dcterms:modified xsi:type="dcterms:W3CDTF">2021-08-18T15:27:00Z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