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56DF" w14:textId="0A306CCF" w:rsidR="00B912C2" w:rsidRPr="00D33F4D" w:rsidRDefault="007E0862" w:rsidP="006C0C8F">
      <w:pPr>
        <w:rPr>
          <w:rFonts w:cs="Arial"/>
        </w:rPr>
      </w:pPr>
      <w:r>
        <w:rPr>
          <w:rFonts w:cs="Arial"/>
        </w:rPr>
        <w:t>Scottish Natural Heritage</w:t>
      </w:r>
      <w:r w:rsidR="00B912C2" w:rsidRPr="00D33F4D">
        <w:rPr>
          <w:rFonts w:cs="Arial"/>
        </w:rPr>
        <w:br/>
      </w:r>
      <w:r>
        <w:rPr>
          <w:rFonts w:cs="Arial"/>
        </w:rPr>
        <w:t xml:space="preserve">via email to: </w:t>
      </w:r>
      <w:proofErr w:type="spellStart"/>
      <w:r>
        <w:rPr>
          <w:rFonts w:cs="Arial"/>
        </w:rPr>
        <w:t>landscape@nature.scot</w:t>
      </w:r>
      <w:proofErr w:type="spellEnd"/>
      <w:r w:rsidR="00B912C2" w:rsidRPr="00D33F4D">
        <w:rPr>
          <w:rFonts w:cs="Arial"/>
        </w:rPr>
        <w:br/>
      </w:r>
    </w:p>
    <w:p w14:paraId="08FC603D" w14:textId="38E831E8" w:rsidR="00EC7255" w:rsidRPr="00D33F4D" w:rsidRDefault="007E0862" w:rsidP="006C0C8F">
      <w:pPr>
        <w:jc w:val="both"/>
        <w:rPr>
          <w:rFonts w:cs="Arial"/>
        </w:rPr>
      </w:pPr>
      <w:r>
        <w:rPr>
          <w:rFonts w:cs="Arial"/>
        </w:rPr>
        <w:t>21 August 2020</w:t>
      </w:r>
    </w:p>
    <w:p w14:paraId="5504B29D" w14:textId="77777777" w:rsidR="00B912C2" w:rsidRPr="00D33F4D" w:rsidRDefault="00B912C2" w:rsidP="006C0C8F">
      <w:pPr>
        <w:jc w:val="both"/>
        <w:rPr>
          <w:rFonts w:cs="Arial"/>
        </w:rPr>
      </w:pPr>
    </w:p>
    <w:p w14:paraId="674B5C2E" w14:textId="5DCAA704" w:rsidR="00B912C2" w:rsidRPr="00DE538C" w:rsidRDefault="007E0862" w:rsidP="006C0C8F">
      <w:pPr>
        <w:jc w:val="both"/>
        <w:rPr>
          <w:rFonts w:cs="Arial"/>
          <w:b/>
        </w:rPr>
      </w:pPr>
      <w:r w:rsidRPr="00DE538C">
        <w:rPr>
          <w:rFonts w:cs="Arial"/>
          <w:b/>
        </w:rPr>
        <w:t>Landscape Sensitivity Assessment – Guidance for Scotland (Consultation draft)</w:t>
      </w:r>
    </w:p>
    <w:p w14:paraId="7C3A2712" w14:textId="77777777" w:rsidR="00D33F4D" w:rsidRPr="00B5342A" w:rsidRDefault="00DB20E8" w:rsidP="006C0C8F">
      <w:pPr>
        <w:jc w:val="both"/>
        <w:rPr>
          <w:lang w:val="en-US"/>
        </w:rPr>
      </w:pPr>
      <w:r w:rsidRPr="00B5342A">
        <w:rPr>
          <w:lang w:val="en-US"/>
        </w:rPr>
        <w:t>Scottish Renewables is the voice of Scotland’s renewable energy industry, working to grow the sector and sustain its position at the forefront of the global clean energy industry. We represent around 260 organisations working across the full range of renewable energy technologies in Scotland and around the world, from large suppliers, operators and manufacturers to small developers, installers and community groups, and companies right across the supply chain.</w:t>
      </w:r>
      <w:r w:rsidR="00341E87" w:rsidRPr="00B5342A">
        <w:rPr>
          <w:lang w:val="en-US"/>
        </w:rPr>
        <w:t xml:space="preserve"> </w:t>
      </w:r>
    </w:p>
    <w:p w14:paraId="58FB7BFF" w14:textId="079362B3" w:rsidR="00DB20E8" w:rsidRPr="00B5342A" w:rsidRDefault="00341E87" w:rsidP="006C0C8F">
      <w:pPr>
        <w:jc w:val="both"/>
        <w:rPr>
          <w:lang w:val="en-US"/>
        </w:rPr>
      </w:pPr>
      <w:r w:rsidRPr="00B5342A">
        <w:rPr>
          <w:lang w:val="en-US"/>
        </w:rPr>
        <w:t>We believe</w:t>
      </w:r>
      <w:r w:rsidR="00DB20E8" w:rsidRPr="00B5342A">
        <w:rPr>
          <w:lang w:val="en-US"/>
        </w:rPr>
        <w:t xml:space="preserve"> </w:t>
      </w:r>
      <w:r w:rsidRPr="00B5342A">
        <w:rPr>
          <w:lang w:val="en-US"/>
        </w:rPr>
        <w:t>Landscape Capacity Studies should be replaced with Landscape Sensitivity Studies to inform</w:t>
      </w:r>
      <w:r w:rsidR="007E0862" w:rsidRPr="00B5342A">
        <w:rPr>
          <w:lang w:val="en-US"/>
        </w:rPr>
        <w:t xml:space="preserve"> (but not over-rule)</w:t>
      </w:r>
      <w:r w:rsidRPr="00B5342A">
        <w:rPr>
          <w:lang w:val="en-US"/>
        </w:rPr>
        <w:t xml:space="preserve"> site-specific project assessment</w:t>
      </w:r>
      <w:r w:rsidR="007E0862" w:rsidRPr="00B5342A">
        <w:rPr>
          <w:lang w:val="en-US"/>
        </w:rPr>
        <w:t>s</w:t>
      </w:r>
      <w:r w:rsidRPr="00B5342A">
        <w:rPr>
          <w:lang w:val="en-US"/>
        </w:rPr>
        <w:t xml:space="preserve">. We therefore welcome the </w:t>
      </w:r>
      <w:r w:rsidR="00D33F4D" w:rsidRPr="00B5342A">
        <w:rPr>
          <w:lang w:val="en-US"/>
        </w:rPr>
        <w:t>opportunity to comment on SNH’s ‘Landscape Sensitivity Assessment –</w:t>
      </w:r>
      <w:r w:rsidR="001D4A09" w:rsidRPr="00B5342A">
        <w:rPr>
          <w:lang w:val="en-US"/>
        </w:rPr>
        <w:t xml:space="preserve"> </w:t>
      </w:r>
      <w:r w:rsidR="00D33F4D" w:rsidRPr="00B5342A">
        <w:rPr>
          <w:lang w:val="en-US"/>
        </w:rPr>
        <w:t xml:space="preserve">Guidance for Scotland’, </w:t>
      </w:r>
      <w:r w:rsidR="001D4A09" w:rsidRPr="00B5342A">
        <w:rPr>
          <w:lang w:val="en-US"/>
        </w:rPr>
        <w:t>c</w:t>
      </w:r>
      <w:r w:rsidR="00D33F4D" w:rsidRPr="00B5342A">
        <w:rPr>
          <w:lang w:val="en-US"/>
        </w:rPr>
        <w:t>onsultation draft.</w:t>
      </w:r>
      <w:r w:rsidR="001D4A09" w:rsidRPr="00B5342A">
        <w:rPr>
          <w:lang w:val="en-US"/>
        </w:rPr>
        <w:t xml:space="preserve"> Our comments on this consultation are set out below.</w:t>
      </w:r>
    </w:p>
    <w:p w14:paraId="02F01ACF" w14:textId="52985582" w:rsidR="00DB20E8" w:rsidRPr="00B5342A" w:rsidRDefault="00DB20E8" w:rsidP="006C0C8F">
      <w:pPr>
        <w:jc w:val="both"/>
        <w:rPr>
          <w:lang w:val="en-US"/>
        </w:rPr>
      </w:pPr>
      <w:r w:rsidRPr="00B5342A">
        <w:rPr>
          <w:lang w:val="en-US"/>
        </w:rPr>
        <w:t>If you have any questions on the comments set out in this response, please do not hesitate to get in touch.</w:t>
      </w:r>
    </w:p>
    <w:p w14:paraId="3915328B" w14:textId="77777777" w:rsidR="00851A7F" w:rsidRPr="00D33F4D" w:rsidRDefault="00851A7F" w:rsidP="006C0C8F">
      <w:pPr>
        <w:jc w:val="both"/>
        <w:rPr>
          <w:rFonts w:cs="Arial"/>
        </w:rPr>
      </w:pPr>
    </w:p>
    <w:p w14:paraId="4A9C282D" w14:textId="77777777" w:rsidR="0028477C" w:rsidRPr="00B5342A" w:rsidRDefault="00E14008" w:rsidP="006C0C8F">
      <w:pPr>
        <w:jc w:val="both"/>
        <w:rPr>
          <w:lang w:val="en-US"/>
        </w:rPr>
      </w:pPr>
      <w:r w:rsidRPr="00B5342A">
        <w:rPr>
          <w:lang w:val="en-US"/>
        </w:rPr>
        <w:t xml:space="preserve">Yours </w:t>
      </w:r>
      <w:r w:rsidR="002B6A2B" w:rsidRPr="00B5342A">
        <w:rPr>
          <w:lang w:val="en-US"/>
        </w:rPr>
        <w:t>s</w:t>
      </w:r>
      <w:r w:rsidR="004447C0" w:rsidRPr="00B5342A">
        <w:rPr>
          <w:lang w:val="en-US"/>
        </w:rPr>
        <w:t>incerely</w:t>
      </w:r>
    </w:p>
    <w:p w14:paraId="0F6448EF" w14:textId="77777777" w:rsidR="00A64FB9" w:rsidRPr="00D33F4D" w:rsidRDefault="00A64FB9" w:rsidP="006C0C8F">
      <w:pPr>
        <w:rPr>
          <w:rFonts w:cs="Arial"/>
        </w:rPr>
      </w:pPr>
    </w:p>
    <w:p w14:paraId="154EA57C" w14:textId="6E847EF9" w:rsidR="008352B1" w:rsidRPr="00D33F4D" w:rsidRDefault="00DB20E8" w:rsidP="006C0C8F">
      <w:pPr>
        <w:spacing w:line="240" w:lineRule="auto"/>
        <w:rPr>
          <w:rFonts w:cs="Arial"/>
        </w:rPr>
      </w:pPr>
      <w:r w:rsidRPr="00D33F4D">
        <w:rPr>
          <w:rFonts w:cs="Arial"/>
        </w:rPr>
        <w:t>Stephanie Conesa</w:t>
      </w:r>
      <w:r w:rsidR="008352B1" w:rsidRPr="00D33F4D">
        <w:rPr>
          <w:rFonts w:cs="Arial"/>
        </w:rPr>
        <w:br/>
      </w:r>
      <w:r w:rsidRPr="00D33F4D">
        <w:rPr>
          <w:rFonts w:cs="Arial"/>
          <w:b/>
        </w:rPr>
        <w:t xml:space="preserve">Policy Manager </w:t>
      </w:r>
      <w:r w:rsidR="00851A7F">
        <w:rPr>
          <w:rFonts w:cs="Arial"/>
          <w:b/>
        </w:rPr>
        <w:t>-</w:t>
      </w:r>
      <w:r w:rsidRPr="00D33F4D">
        <w:rPr>
          <w:rFonts w:cs="Arial"/>
          <w:b/>
        </w:rPr>
        <w:t xml:space="preserve"> Development, Planning &amp; Onshore Wind</w:t>
      </w:r>
    </w:p>
    <w:p w14:paraId="5DDEBD96" w14:textId="4C06A37C" w:rsidR="00DB20E8" w:rsidRDefault="00DB20E8" w:rsidP="006C0C8F">
      <w:pPr>
        <w:jc w:val="both"/>
        <w:rPr>
          <w:rFonts w:cs="Arial"/>
          <w:b/>
          <w:sz w:val="24"/>
          <w:szCs w:val="24"/>
        </w:rPr>
      </w:pPr>
    </w:p>
    <w:p w14:paraId="35BA9E3F" w14:textId="07F190A0" w:rsidR="001D4A09" w:rsidRDefault="001D4A09" w:rsidP="006C0C8F">
      <w:pPr>
        <w:jc w:val="both"/>
        <w:rPr>
          <w:rFonts w:cs="Arial"/>
          <w:b/>
          <w:sz w:val="24"/>
          <w:szCs w:val="24"/>
        </w:rPr>
      </w:pPr>
    </w:p>
    <w:p w14:paraId="38B35388" w14:textId="77777777" w:rsidR="00851A7F" w:rsidRDefault="00851A7F" w:rsidP="006C0C8F">
      <w:pPr>
        <w:jc w:val="both"/>
        <w:rPr>
          <w:rFonts w:cs="Arial"/>
          <w:b/>
          <w:sz w:val="24"/>
          <w:szCs w:val="24"/>
        </w:rPr>
      </w:pPr>
    </w:p>
    <w:p w14:paraId="788CB759" w14:textId="77777777" w:rsidR="009C1AD9" w:rsidRDefault="009C1AD9" w:rsidP="006C0C8F">
      <w:pPr>
        <w:jc w:val="both"/>
        <w:rPr>
          <w:rFonts w:cs="Arial"/>
          <w:bCs/>
          <w:sz w:val="24"/>
          <w:szCs w:val="24"/>
        </w:rPr>
        <w:sectPr w:rsidR="009C1AD9" w:rsidSect="00A64FB9">
          <w:headerReference w:type="even" r:id="rId8"/>
          <w:headerReference w:type="default" r:id="rId9"/>
          <w:footerReference w:type="default" r:id="rId10"/>
          <w:headerReference w:type="first" r:id="rId11"/>
          <w:pgSz w:w="11906" w:h="16838"/>
          <w:pgMar w:top="2835" w:right="1418" w:bottom="2948" w:left="1418" w:header="709" w:footer="709" w:gutter="0"/>
          <w:cols w:space="708"/>
          <w:titlePg/>
          <w:docGrid w:linePitch="360"/>
        </w:sectPr>
      </w:pPr>
    </w:p>
    <w:p w14:paraId="3DD15B46" w14:textId="51EA61A9" w:rsidR="007E0862" w:rsidRPr="007E0862" w:rsidRDefault="007E0862" w:rsidP="006C0C8F">
      <w:pPr>
        <w:pStyle w:val="Title"/>
        <w:spacing w:line="276" w:lineRule="auto"/>
        <w:rPr>
          <w:rFonts w:ascii="Arial" w:hAnsi="Arial" w:cs="Arial"/>
        </w:rPr>
      </w:pPr>
      <w:r>
        <w:rPr>
          <w:rFonts w:ascii="Arial" w:hAnsi="Arial" w:cs="Arial"/>
        </w:rPr>
        <w:lastRenderedPageBreak/>
        <w:t>Consultation Response</w:t>
      </w:r>
      <w:r w:rsidRPr="007E0862">
        <w:rPr>
          <w:rFonts w:ascii="Arial" w:hAnsi="Arial" w:cs="Arial"/>
        </w:rPr>
        <w:t xml:space="preserve"> </w:t>
      </w:r>
      <w:r w:rsidRPr="007E0862">
        <w:rPr>
          <w:rFonts w:ascii="Arial" w:hAnsi="Arial" w:cs="Arial"/>
        </w:rPr>
        <w:br/>
      </w:r>
      <w:r w:rsidR="006C0C8F">
        <w:rPr>
          <w:rFonts w:ascii="Arial" w:hAnsi="Arial" w:cs="Arial"/>
        </w:rPr>
        <w:t xml:space="preserve">SNH </w:t>
      </w:r>
      <w:r>
        <w:rPr>
          <w:rFonts w:ascii="Arial" w:hAnsi="Arial" w:cs="Arial"/>
        </w:rPr>
        <w:t>Landscape Sensitivity Assessment – Guidance for Scotland</w:t>
      </w:r>
    </w:p>
    <w:p w14:paraId="6AAE6C4E" w14:textId="08A503D8" w:rsidR="004065D2" w:rsidRPr="006C0C8F" w:rsidRDefault="007E0862" w:rsidP="006C0C8F">
      <w:pPr>
        <w:pBdr>
          <w:bottom w:val="single" w:sz="4" w:space="1" w:color="auto"/>
        </w:pBdr>
        <w:spacing w:before="240" w:after="0"/>
        <w:jc w:val="both"/>
        <w:rPr>
          <w:rFonts w:cs="Arial"/>
          <w:b/>
          <w:bCs/>
        </w:rPr>
      </w:pPr>
      <w:r w:rsidRPr="006C0C8F">
        <w:rPr>
          <w:rFonts w:cs="Arial"/>
          <w:b/>
          <w:bCs/>
        </w:rPr>
        <w:t>This document sets out Scottish Renewables members’ views on changes required to the</w:t>
      </w:r>
      <w:r w:rsidR="006C0C8F">
        <w:rPr>
          <w:rFonts w:cs="Arial"/>
          <w:b/>
          <w:bCs/>
        </w:rPr>
        <w:t xml:space="preserve"> draft</w:t>
      </w:r>
      <w:r w:rsidRPr="006C0C8F">
        <w:rPr>
          <w:rFonts w:cs="Arial"/>
          <w:b/>
          <w:bCs/>
        </w:rPr>
        <w:t xml:space="preserve"> guidance </w:t>
      </w:r>
      <w:proofErr w:type="gramStart"/>
      <w:r w:rsidRPr="006C0C8F">
        <w:rPr>
          <w:rFonts w:cs="Arial"/>
          <w:b/>
          <w:bCs/>
        </w:rPr>
        <w:t>in order to</w:t>
      </w:r>
      <w:proofErr w:type="gramEnd"/>
      <w:r w:rsidRPr="006C0C8F">
        <w:rPr>
          <w:rFonts w:cs="Arial"/>
          <w:b/>
          <w:bCs/>
        </w:rPr>
        <w:t xml:space="preserve"> avoid </w:t>
      </w:r>
      <w:r w:rsidR="004065D2" w:rsidRPr="006C0C8F">
        <w:rPr>
          <w:rFonts w:cs="Arial"/>
          <w:b/>
          <w:bCs/>
        </w:rPr>
        <w:t>a continuation of</w:t>
      </w:r>
      <w:r w:rsidRPr="006C0C8F">
        <w:rPr>
          <w:rFonts w:cs="Arial"/>
          <w:b/>
          <w:bCs/>
        </w:rPr>
        <w:t xml:space="preserve"> landscape </w:t>
      </w:r>
      <w:r w:rsidR="004065D2" w:rsidRPr="006C0C8F">
        <w:rPr>
          <w:rFonts w:cs="Arial"/>
          <w:b/>
          <w:bCs/>
        </w:rPr>
        <w:t xml:space="preserve">capacity and sensitivity </w:t>
      </w:r>
      <w:r w:rsidRPr="006C0C8F">
        <w:rPr>
          <w:rFonts w:cs="Arial"/>
          <w:b/>
          <w:bCs/>
        </w:rPr>
        <w:t xml:space="preserve">studies </w:t>
      </w:r>
      <w:r w:rsidR="004065D2" w:rsidRPr="006C0C8F">
        <w:rPr>
          <w:rFonts w:cs="Arial"/>
          <w:b/>
          <w:bCs/>
        </w:rPr>
        <w:t>that seek to restrict renewables deployment.</w:t>
      </w:r>
    </w:p>
    <w:p w14:paraId="293C9642" w14:textId="64E5517D" w:rsidR="00AF329D" w:rsidRPr="006C0C8F" w:rsidRDefault="00AF329D" w:rsidP="006C0C8F">
      <w:pPr>
        <w:pStyle w:val="Contentstitle"/>
        <w:rPr>
          <w:color w:val="auto"/>
        </w:rPr>
      </w:pPr>
      <w:r w:rsidRPr="006C0C8F">
        <w:rPr>
          <w:color w:val="auto"/>
        </w:rPr>
        <w:t>Contents</w:t>
      </w:r>
    </w:p>
    <w:bookmarkStart w:id="0" w:name="_Toc48902199"/>
    <w:p w14:paraId="5685E440" w14:textId="7D96A26C" w:rsidR="008611CB" w:rsidRPr="006C0C8F" w:rsidRDefault="008611CB" w:rsidP="006C0C8F">
      <w:pPr>
        <w:pStyle w:val="TOC1"/>
        <w:tabs>
          <w:tab w:val="left" w:pos="440"/>
          <w:tab w:val="right" w:leader="underscore" w:pos="9060"/>
        </w:tabs>
        <w:jc w:val="both"/>
        <w:rPr>
          <w:rFonts w:eastAsiaTheme="minorEastAsia" w:cstheme="minorBidi"/>
          <w:b w:val="0"/>
          <w:bCs w:val="0"/>
          <w:i w:val="0"/>
          <w:iCs w:val="0"/>
          <w:noProof/>
          <w:sz w:val="22"/>
          <w:szCs w:val="22"/>
          <w:lang w:eastAsia="en-GB"/>
        </w:rPr>
      </w:pPr>
      <w:r w:rsidRPr="006C0C8F">
        <w:fldChar w:fldCharType="begin"/>
      </w:r>
      <w:r w:rsidRPr="006C0C8F">
        <w:instrText xml:space="preserve"> TOC \o "1-1" \h \z \u </w:instrText>
      </w:r>
      <w:r w:rsidRPr="006C0C8F">
        <w:fldChar w:fldCharType="separate"/>
      </w:r>
      <w:hyperlink w:anchor="_Toc48902754" w:history="1">
        <w:r w:rsidRPr="006C0C8F">
          <w:rPr>
            <w:rStyle w:val="Hyperlink"/>
            <w:noProof/>
            <w:color w:val="auto"/>
            <w:lang w:bidi="en-US"/>
          </w:rPr>
          <w:t>1</w:t>
        </w:r>
        <w:r w:rsidRPr="006C0C8F">
          <w:rPr>
            <w:rFonts w:eastAsiaTheme="minorEastAsia" w:cstheme="minorBidi"/>
            <w:b w:val="0"/>
            <w:bCs w:val="0"/>
            <w:i w:val="0"/>
            <w:iCs w:val="0"/>
            <w:noProof/>
            <w:sz w:val="22"/>
            <w:szCs w:val="22"/>
            <w:lang w:eastAsia="en-GB"/>
          </w:rPr>
          <w:tab/>
        </w:r>
        <w:r w:rsidRPr="006C0C8F">
          <w:rPr>
            <w:rStyle w:val="Hyperlink"/>
            <w:noProof/>
            <w:color w:val="auto"/>
            <w:lang w:bidi="en-US"/>
          </w:rPr>
          <w:t>Executive Summary</w:t>
        </w:r>
        <w:r w:rsidRPr="006C0C8F">
          <w:rPr>
            <w:noProof/>
            <w:webHidden/>
          </w:rPr>
          <w:tab/>
        </w:r>
        <w:r w:rsidRPr="006C0C8F">
          <w:rPr>
            <w:noProof/>
            <w:webHidden/>
          </w:rPr>
          <w:fldChar w:fldCharType="begin"/>
        </w:r>
        <w:r w:rsidRPr="006C0C8F">
          <w:rPr>
            <w:noProof/>
            <w:webHidden/>
          </w:rPr>
          <w:instrText xml:space="preserve"> PAGEREF _Toc48902754 \h </w:instrText>
        </w:r>
        <w:r w:rsidRPr="006C0C8F">
          <w:rPr>
            <w:noProof/>
            <w:webHidden/>
          </w:rPr>
        </w:r>
        <w:r w:rsidRPr="006C0C8F">
          <w:rPr>
            <w:noProof/>
            <w:webHidden/>
          </w:rPr>
          <w:fldChar w:fldCharType="separate"/>
        </w:r>
        <w:r w:rsidR="00E42703" w:rsidRPr="006C0C8F">
          <w:rPr>
            <w:noProof/>
            <w:webHidden/>
          </w:rPr>
          <w:t>3</w:t>
        </w:r>
        <w:r w:rsidRPr="006C0C8F">
          <w:rPr>
            <w:noProof/>
            <w:webHidden/>
          </w:rPr>
          <w:fldChar w:fldCharType="end"/>
        </w:r>
      </w:hyperlink>
    </w:p>
    <w:p w14:paraId="69924B3B" w14:textId="184F2C00" w:rsidR="008611CB" w:rsidRPr="006C0C8F" w:rsidRDefault="00A572D2" w:rsidP="006C0C8F">
      <w:pPr>
        <w:pStyle w:val="TOC1"/>
        <w:tabs>
          <w:tab w:val="left" w:pos="440"/>
          <w:tab w:val="right" w:leader="underscore" w:pos="9060"/>
        </w:tabs>
        <w:jc w:val="both"/>
        <w:rPr>
          <w:rFonts w:eastAsiaTheme="minorEastAsia" w:cstheme="minorBidi"/>
          <w:b w:val="0"/>
          <w:bCs w:val="0"/>
          <w:i w:val="0"/>
          <w:iCs w:val="0"/>
          <w:noProof/>
          <w:sz w:val="22"/>
          <w:szCs w:val="22"/>
          <w:lang w:eastAsia="en-GB"/>
        </w:rPr>
      </w:pPr>
      <w:hyperlink w:anchor="_Toc48902755" w:history="1">
        <w:r w:rsidR="008611CB" w:rsidRPr="006C0C8F">
          <w:rPr>
            <w:rStyle w:val="Hyperlink"/>
            <w:noProof/>
            <w:color w:val="auto"/>
            <w:lang w:bidi="en-US"/>
          </w:rPr>
          <w:t>2</w:t>
        </w:r>
        <w:r w:rsidR="008611CB" w:rsidRPr="006C0C8F">
          <w:rPr>
            <w:rFonts w:eastAsiaTheme="minorEastAsia" w:cstheme="minorBidi"/>
            <w:b w:val="0"/>
            <w:bCs w:val="0"/>
            <w:i w:val="0"/>
            <w:iCs w:val="0"/>
            <w:noProof/>
            <w:sz w:val="22"/>
            <w:szCs w:val="22"/>
            <w:lang w:eastAsia="en-GB"/>
          </w:rPr>
          <w:tab/>
        </w:r>
        <w:r w:rsidR="008611CB" w:rsidRPr="006C0C8F">
          <w:rPr>
            <w:rStyle w:val="Hyperlink"/>
            <w:noProof/>
            <w:color w:val="auto"/>
            <w:lang w:bidi="en-US"/>
          </w:rPr>
          <w:t>Theme A – Capacity vs. sensitivity</w:t>
        </w:r>
        <w:r w:rsidR="008611CB" w:rsidRPr="006C0C8F">
          <w:rPr>
            <w:noProof/>
            <w:webHidden/>
          </w:rPr>
          <w:tab/>
        </w:r>
        <w:r w:rsidR="008611CB" w:rsidRPr="006C0C8F">
          <w:rPr>
            <w:noProof/>
            <w:webHidden/>
          </w:rPr>
          <w:fldChar w:fldCharType="begin"/>
        </w:r>
        <w:r w:rsidR="008611CB" w:rsidRPr="006C0C8F">
          <w:rPr>
            <w:noProof/>
            <w:webHidden/>
          </w:rPr>
          <w:instrText xml:space="preserve"> PAGEREF _Toc48902755 \h </w:instrText>
        </w:r>
        <w:r w:rsidR="008611CB" w:rsidRPr="006C0C8F">
          <w:rPr>
            <w:noProof/>
            <w:webHidden/>
          </w:rPr>
        </w:r>
        <w:r w:rsidR="008611CB" w:rsidRPr="006C0C8F">
          <w:rPr>
            <w:noProof/>
            <w:webHidden/>
          </w:rPr>
          <w:fldChar w:fldCharType="separate"/>
        </w:r>
        <w:r w:rsidR="00E42703" w:rsidRPr="006C0C8F">
          <w:rPr>
            <w:noProof/>
            <w:webHidden/>
          </w:rPr>
          <w:t>4</w:t>
        </w:r>
        <w:r w:rsidR="008611CB" w:rsidRPr="006C0C8F">
          <w:rPr>
            <w:noProof/>
            <w:webHidden/>
          </w:rPr>
          <w:fldChar w:fldCharType="end"/>
        </w:r>
      </w:hyperlink>
    </w:p>
    <w:p w14:paraId="2C5D0A6D" w14:textId="2FDC8285" w:rsidR="008611CB" w:rsidRPr="006C0C8F" w:rsidRDefault="00A572D2" w:rsidP="006C0C8F">
      <w:pPr>
        <w:pStyle w:val="TOC1"/>
        <w:tabs>
          <w:tab w:val="left" w:pos="440"/>
          <w:tab w:val="right" w:leader="underscore" w:pos="9060"/>
        </w:tabs>
        <w:jc w:val="both"/>
        <w:rPr>
          <w:rFonts w:eastAsiaTheme="minorEastAsia" w:cstheme="minorBidi"/>
          <w:b w:val="0"/>
          <w:bCs w:val="0"/>
          <w:i w:val="0"/>
          <w:iCs w:val="0"/>
          <w:noProof/>
          <w:sz w:val="22"/>
          <w:szCs w:val="22"/>
          <w:lang w:eastAsia="en-GB"/>
        </w:rPr>
      </w:pPr>
      <w:hyperlink w:anchor="_Toc48902756" w:history="1">
        <w:r w:rsidR="008611CB" w:rsidRPr="006C0C8F">
          <w:rPr>
            <w:rStyle w:val="Hyperlink"/>
            <w:noProof/>
            <w:color w:val="auto"/>
            <w:lang w:bidi="en-US"/>
          </w:rPr>
          <w:t>3</w:t>
        </w:r>
        <w:r w:rsidR="008611CB" w:rsidRPr="006C0C8F">
          <w:rPr>
            <w:rFonts w:eastAsiaTheme="minorEastAsia" w:cstheme="minorBidi"/>
            <w:b w:val="0"/>
            <w:bCs w:val="0"/>
            <w:i w:val="0"/>
            <w:iCs w:val="0"/>
            <w:noProof/>
            <w:sz w:val="22"/>
            <w:szCs w:val="22"/>
            <w:lang w:eastAsia="en-GB"/>
          </w:rPr>
          <w:tab/>
        </w:r>
        <w:r w:rsidR="008611CB" w:rsidRPr="006C0C8F">
          <w:rPr>
            <w:rStyle w:val="Hyperlink"/>
            <w:noProof/>
            <w:color w:val="auto"/>
            <w:lang w:bidi="en-US"/>
          </w:rPr>
          <w:t>Theme B – Approach to landscape value</w:t>
        </w:r>
        <w:r w:rsidR="008611CB" w:rsidRPr="006C0C8F">
          <w:rPr>
            <w:noProof/>
            <w:webHidden/>
          </w:rPr>
          <w:tab/>
        </w:r>
        <w:r w:rsidR="008611CB" w:rsidRPr="006C0C8F">
          <w:rPr>
            <w:noProof/>
            <w:webHidden/>
          </w:rPr>
          <w:fldChar w:fldCharType="begin"/>
        </w:r>
        <w:r w:rsidR="008611CB" w:rsidRPr="006C0C8F">
          <w:rPr>
            <w:noProof/>
            <w:webHidden/>
          </w:rPr>
          <w:instrText xml:space="preserve"> PAGEREF _Toc48902756 \h </w:instrText>
        </w:r>
        <w:r w:rsidR="008611CB" w:rsidRPr="006C0C8F">
          <w:rPr>
            <w:noProof/>
            <w:webHidden/>
          </w:rPr>
        </w:r>
        <w:r w:rsidR="008611CB" w:rsidRPr="006C0C8F">
          <w:rPr>
            <w:noProof/>
            <w:webHidden/>
          </w:rPr>
          <w:fldChar w:fldCharType="separate"/>
        </w:r>
        <w:r w:rsidR="00E42703" w:rsidRPr="006C0C8F">
          <w:rPr>
            <w:noProof/>
            <w:webHidden/>
          </w:rPr>
          <w:t>8</w:t>
        </w:r>
        <w:r w:rsidR="008611CB" w:rsidRPr="006C0C8F">
          <w:rPr>
            <w:noProof/>
            <w:webHidden/>
          </w:rPr>
          <w:fldChar w:fldCharType="end"/>
        </w:r>
      </w:hyperlink>
    </w:p>
    <w:p w14:paraId="0865B1F8" w14:textId="2DAE5969" w:rsidR="008611CB" w:rsidRPr="006C0C8F" w:rsidRDefault="00A572D2" w:rsidP="006C0C8F">
      <w:pPr>
        <w:pStyle w:val="TOC1"/>
        <w:tabs>
          <w:tab w:val="left" w:pos="440"/>
          <w:tab w:val="right" w:leader="underscore" w:pos="9060"/>
        </w:tabs>
        <w:jc w:val="both"/>
        <w:rPr>
          <w:rFonts w:eastAsiaTheme="minorEastAsia" w:cstheme="minorBidi"/>
          <w:b w:val="0"/>
          <w:bCs w:val="0"/>
          <w:i w:val="0"/>
          <w:iCs w:val="0"/>
          <w:noProof/>
          <w:sz w:val="22"/>
          <w:szCs w:val="22"/>
          <w:lang w:eastAsia="en-GB"/>
        </w:rPr>
      </w:pPr>
      <w:hyperlink w:anchor="_Toc48902757" w:history="1">
        <w:r w:rsidR="008611CB" w:rsidRPr="006C0C8F">
          <w:rPr>
            <w:rStyle w:val="Hyperlink"/>
            <w:noProof/>
            <w:color w:val="auto"/>
            <w:lang w:bidi="en-US"/>
          </w:rPr>
          <w:t>4</w:t>
        </w:r>
        <w:r w:rsidR="008611CB" w:rsidRPr="006C0C8F">
          <w:rPr>
            <w:rFonts w:eastAsiaTheme="minorEastAsia" w:cstheme="minorBidi"/>
            <w:b w:val="0"/>
            <w:bCs w:val="0"/>
            <w:i w:val="0"/>
            <w:iCs w:val="0"/>
            <w:noProof/>
            <w:sz w:val="22"/>
            <w:szCs w:val="22"/>
            <w:lang w:eastAsia="en-GB"/>
          </w:rPr>
          <w:tab/>
        </w:r>
        <w:r w:rsidR="008611CB" w:rsidRPr="006C0C8F">
          <w:rPr>
            <w:rStyle w:val="Hyperlink"/>
            <w:noProof/>
            <w:color w:val="auto"/>
            <w:lang w:bidi="en-US"/>
          </w:rPr>
          <w:t>Theme C – Focus on technical guidance</w:t>
        </w:r>
        <w:r w:rsidR="008611CB" w:rsidRPr="006C0C8F">
          <w:rPr>
            <w:noProof/>
            <w:webHidden/>
          </w:rPr>
          <w:tab/>
        </w:r>
        <w:r w:rsidR="008611CB" w:rsidRPr="006C0C8F">
          <w:rPr>
            <w:noProof/>
            <w:webHidden/>
          </w:rPr>
          <w:fldChar w:fldCharType="begin"/>
        </w:r>
        <w:r w:rsidR="008611CB" w:rsidRPr="006C0C8F">
          <w:rPr>
            <w:noProof/>
            <w:webHidden/>
          </w:rPr>
          <w:instrText xml:space="preserve"> PAGEREF _Toc48902757 \h </w:instrText>
        </w:r>
        <w:r w:rsidR="008611CB" w:rsidRPr="006C0C8F">
          <w:rPr>
            <w:noProof/>
            <w:webHidden/>
          </w:rPr>
        </w:r>
        <w:r w:rsidR="008611CB" w:rsidRPr="006C0C8F">
          <w:rPr>
            <w:noProof/>
            <w:webHidden/>
          </w:rPr>
          <w:fldChar w:fldCharType="separate"/>
        </w:r>
        <w:r w:rsidR="00E42703" w:rsidRPr="006C0C8F">
          <w:rPr>
            <w:noProof/>
            <w:webHidden/>
          </w:rPr>
          <w:t>10</w:t>
        </w:r>
        <w:r w:rsidR="008611CB" w:rsidRPr="006C0C8F">
          <w:rPr>
            <w:noProof/>
            <w:webHidden/>
          </w:rPr>
          <w:fldChar w:fldCharType="end"/>
        </w:r>
      </w:hyperlink>
    </w:p>
    <w:p w14:paraId="40693DAD" w14:textId="2AAE2C60" w:rsidR="008611CB" w:rsidRPr="006C0C8F" w:rsidRDefault="00A572D2" w:rsidP="006C0C8F">
      <w:pPr>
        <w:pStyle w:val="TOC1"/>
        <w:tabs>
          <w:tab w:val="left" w:pos="440"/>
          <w:tab w:val="right" w:leader="underscore" w:pos="9060"/>
        </w:tabs>
        <w:jc w:val="both"/>
        <w:rPr>
          <w:rFonts w:eastAsiaTheme="minorEastAsia" w:cstheme="minorBidi"/>
          <w:b w:val="0"/>
          <w:bCs w:val="0"/>
          <w:i w:val="0"/>
          <w:iCs w:val="0"/>
          <w:noProof/>
          <w:sz w:val="22"/>
          <w:szCs w:val="22"/>
          <w:lang w:eastAsia="en-GB"/>
        </w:rPr>
      </w:pPr>
      <w:hyperlink w:anchor="_Toc48902758" w:history="1">
        <w:r w:rsidR="008611CB" w:rsidRPr="006C0C8F">
          <w:rPr>
            <w:rStyle w:val="Hyperlink"/>
            <w:noProof/>
            <w:color w:val="auto"/>
            <w:lang w:bidi="en-US"/>
          </w:rPr>
          <w:t>5</w:t>
        </w:r>
        <w:r w:rsidR="008611CB" w:rsidRPr="006C0C8F">
          <w:rPr>
            <w:rFonts w:eastAsiaTheme="minorEastAsia" w:cstheme="minorBidi"/>
            <w:b w:val="0"/>
            <w:bCs w:val="0"/>
            <w:i w:val="0"/>
            <w:iCs w:val="0"/>
            <w:noProof/>
            <w:sz w:val="22"/>
            <w:szCs w:val="22"/>
            <w:lang w:eastAsia="en-GB"/>
          </w:rPr>
          <w:tab/>
        </w:r>
        <w:r w:rsidR="008611CB" w:rsidRPr="006C0C8F">
          <w:rPr>
            <w:rStyle w:val="Hyperlink"/>
            <w:noProof/>
            <w:color w:val="auto"/>
            <w:lang w:bidi="en-US"/>
          </w:rPr>
          <w:t>Theme D - Clarity and Tone</w:t>
        </w:r>
        <w:r w:rsidR="008611CB" w:rsidRPr="006C0C8F">
          <w:rPr>
            <w:noProof/>
            <w:webHidden/>
          </w:rPr>
          <w:tab/>
        </w:r>
        <w:r w:rsidR="008611CB" w:rsidRPr="006C0C8F">
          <w:rPr>
            <w:noProof/>
            <w:webHidden/>
          </w:rPr>
          <w:fldChar w:fldCharType="begin"/>
        </w:r>
        <w:r w:rsidR="008611CB" w:rsidRPr="006C0C8F">
          <w:rPr>
            <w:noProof/>
            <w:webHidden/>
          </w:rPr>
          <w:instrText xml:space="preserve"> PAGEREF _Toc48902758 \h </w:instrText>
        </w:r>
        <w:r w:rsidR="008611CB" w:rsidRPr="006C0C8F">
          <w:rPr>
            <w:noProof/>
            <w:webHidden/>
          </w:rPr>
        </w:r>
        <w:r w:rsidR="008611CB" w:rsidRPr="006C0C8F">
          <w:rPr>
            <w:noProof/>
            <w:webHidden/>
          </w:rPr>
          <w:fldChar w:fldCharType="separate"/>
        </w:r>
        <w:r w:rsidR="00E42703" w:rsidRPr="006C0C8F">
          <w:rPr>
            <w:noProof/>
            <w:webHidden/>
          </w:rPr>
          <w:t>11</w:t>
        </w:r>
        <w:r w:rsidR="008611CB" w:rsidRPr="006C0C8F">
          <w:rPr>
            <w:noProof/>
            <w:webHidden/>
          </w:rPr>
          <w:fldChar w:fldCharType="end"/>
        </w:r>
      </w:hyperlink>
    </w:p>
    <w:p w14:paraId="206FF3BC" w14:textId="673DEF2F" w:rsidR="008611CB" w:rsidRPr="006C0C8F" w:rsidRDefault="00A572D2" w:rsidP="006C0C8F">
      <w:pPr>
        <w:pStyle w:val="TOC1"/>
        <w:tabs>
          <w:tab w:val="left" w:pos="440"/>
          <w:tab w:val="right" w:leader="underscore" w:pos="9060"/>
        </w:tabs>
        <w:jc w:val="both"/>
        <w:rPr>
          <w:rFonts w:eastAsiaTheme="minorEastAsia" w:cstheme="minorBidi"/>
          <w:b w:val="0"/>
          <w:bCs w:val="0"/>
          <w:i w:val="0"/>
          <w:iCs w:val="0"/>
          <w:noProof/>
          <w:sz w:val="22"/>
          <w:szCs w:val="22"/>
          <w:lang w:eastAsia="en-GB"/>
        </w:rPr>
      </w:pPr>
      <w:hyperlink w:anchor="_Toc48902759" w:history="1">
        <w:r w:rsidR="008611CB" w:rsidRPr="006C0C8F">
          <w:rPr>
            <w:rStyle w:val="Hyperlink"/>
            <w:noProof/>
            <w:color w:val="auto"/>
            <w:lang w:bidi="en-US"/>
          </w:rPr>
          <w:t>6</w:t>
        </w:r>
        <w:r w:rsidR="008611CB" w:rsidRPr="006C0C8F">
          <w:rPr>
            <w:rFonts w:eastAsiaTheme="minorEastAsia" w:cstheme="minorBidi"/>
            <w:b w:val="0"/>
            <w:bCs w:val="0"/>
            <w:i w:val="0"/>
            <w:iCs w:val="0"/>
            <w:noProof/>
            <w:sz w:val="22"/>
            <w:szCs w:val="22"/>
            <w:lang w:eastAsia="en-GB"/>
          </w:rPr>
          <w:tab/>
        </w:r>
        <w:r w:rsidR="008611CB" w:rsidRPr="006C0C8F">
          <w:rPr>
            <w:rStyle w:val="Hyperlink"/>
            <w:noProof/>
            <w:color w:val="auto"/>
            <w:lang w:bidi="en-US"/>
          </w:rPr>
          <w:t>Theme E – Relationship to other guidance</w:t>
        </w:r>
        <w:r w:rsidR="008611CB" w:rsidRPr="006C0C8F">
          <w:rPr>
            <w:noProof/>
            <w:webHidden/>
          </w:rPr>
          <w:tab/>
        </w:r>
        <w:r w:rsidR="008611CB" w:rsidRPr="006C0C8F">
          <w:rPr>
            <w:noProof/>
            <w:webHidden/>
          </w:rPr>
          <w:fldChar w:fldCharType="begin"/>
        </w:r>
        <w:r w:rsidR="008611CB" w:rsidRPr="006C0C8F">
          <w:rPr>
            <w:noProof/>
            <w:webHidden/>
          </w:rPr>
          <w:instrText xml:space="preserve"> PAGEREF _Toc48902759 \h </w:instrText>
        </w:r>
        <w:r w:rsidR="008611CB" w:rsidRPr="006C0C8F">
          <w:rPr>
            <w:noProof/>
            <w:webHidden/>
          </w:rPr>
        </w:r>
        <w:r w:rsidR="008611CB" w:rsidRPr="006C0C8F">
          <w:rPr>
            <w:noProof/>
            <w:webHidden/>
          </w:rPr>
          <w:fldChar w:fldCharType="separate"/>
        </w:r>
        <w:r w:rsidR="00E42703" w:rsidRPr="006C0C8F">
          <w:rPr>
            <w:noProof/>
            <w:webHidden/>
          </w:rPr>
          <w:t>13</w:t>
        </w:r>
        <w:r w:rsidR="008611CB" w:rsidRPr="006C0C8F">
          <w:rPr>
            <w:noProof/>
            <w:webHidden/>
          </w:rPr>
          <w:fldChar w:fldCharType="end"/>
        </w:r>
      </w:hyperlink>
    </w:p>
    <w:p w14:paraId="43CB449F" w14:textId="01E63DA1" w:rsidR="00AF329D" w:rsidRPr="006C0C8F" w:rsidRDefault="008611CB" w:rsidP="006C0C8F">
      <w:pPr>
        <w:jc w:val="both"/>
        <w:rPr>
          <w:rFonts w:eastAsiaTheme="majorEastAsia" w:cs="Arial"/>
          <w:b/>
          <w:sz w:val="28"/>
          <w:szCs w:val="32"/>
          <w:lang w:bidi="en-US"/>
        </w:rPr>
      </w:pPr>
      <w:r w:rsidRPr="006C0C8F">
        <w:fldChar w:fldCharType="end"/>
      </w:r>
      <w:r w:rsidR="00AF329D" w:rsidRPr="006C0C8F">
        <w:br w:type="page"/>
      </w:r>
    </w:p>
    <w:p w14:paraId="693BE907" w14:textId="5CAF1526" w:rsidR="007E0862" w:rsidRPr="006C0C8F" w:rsidRDefault="004065D2" w:rsidP="006C0C8F">
      <w:pPr>
        <w:pStyle w:val="Heading1"/>
      </w:pPr>
      <w:bookmarkStart w:id="1" w:name="_Toc48902669"/>
      <w:bookmarkStart w:id="2" w:name="_Toc48902754"/>
      <w:r w:rsidRPr="006C0C8F">
        <w:lastRenderedPageBreak/>
        <w:t>Executive Summary</w:t>
      </w:r>
      <w:bookmarkEnd w:id="0"/>
      <w:bookmarkEnd w:id="1"/>
      <w:bookmarkEnd w:id="2"/>
    </w:p>
    <w:p w14:paraId="00BDF56A" w14:textId="77777777" w:rsidR="001B53D5" w:rsidRPr="006C0C8F" w:rsidRDefault="001B53D5" w:rsidP="006C0C8F">
      <w:pPr>
        <w:jc w:val="both"/>
        <w:rPr>
          <w:lang w:val="en-US"/>
        </w:rPr>
      </w:pPr>
      <w:r w:rsidRPr="006C0C8F">
        <w:rPr>
          <w:lang w:val="en-US"/>
        </w:rPr>
        <w:t>Considerations in relation to the consultation draft document and the Scottish Renewables response can be split into the following main themes:</w:t>
      </w:r>
    </w:p>
    <w:p w14:paraId="127C890D" w14:textId="77777777" w:rsidR="001B53D5" w:rsidRPr="006C0C8F" w:rsidRDefault="001B53D5" w:rsidP="006C0C8F">
      <w:pPr>
        <w:pStyle w:val="numberedlist"/>
        <w:rPr>
          <w:color w:val="auto"/>
        </w:rPr>
      </w:pPr>
      <w:r w:rsidRPr="006C0C8F">
        <w:rPr>
          <w:b/>
          <w:bCs/>
          <w:color w:val="auto"/>
        </w:rPr>
        <w:t>Capacity vs. sensitivity</w:t>
      </w:r>
      <w:r w:rsidRPr="006C0C8F">
        <w:rPr>
          <w:color w:val="auto"/>
        </w:rPr>
        <w:t xml:space="preserve"> - The intention to move away from ‘capacity assessment’ towards ‘sensitivity assessment’ is welcome, but the ‘capacity’ mindset appears to remain in the language used in some parts of the document and in the approach it advocates. The guidance as it stands seems unlikely to drive a mindset shift from seeking to restrict renewables development to seeking to guide and enable. </w:t>
      </w:r>
    </w:p>
    <w:p w14:paraId="4EA26B46" w14:textId="77777777" w:rsidR="001B53D5" w:rsidRPr="006C0C8F" w:rsidRDefault="001B53D5" w:rsidP="006C0C8F">
      <w:pPr>
        <w:pStyle w:val="numberedlist"/>
        <w:rPr>
          <w:color w:val="auto"/>
        </w:rPr>
      </w:pPr>
      <w:r w:rsidRPr="006C0C8F">
        <w:rPr>
          <w:b/>
          <w:bCs/>
          <w:color w:val="auto"/>
        </w:rPr>
        <w:t>Approach to landscape value</w:t>
      </w:r>
      <w:r w:rsidRPr="006C0C8F">
        <w:rPr>
          <w:color w:val="auto"/>
        </w:rPr>
        <w:t xml:space="preserve"> – the approach to landscape value is not clearly defined; is disconnected from established best practice and could be better described.</w:t>
      </w:r>
    </w:p>
    <w:p w14:paraId="47FA4092" w14:textId="77777777" w:rsidR="001B53D5" w:rsidRPr="006C0C8F" w:rsidRDefault="001B53D5" w:rsidP="006C0C8F">
      <w:pPr>
        <w:pStyle w:val="numberedlist"/>
        <w:rPr>
          <w:color w:val="auto"/>
        </w:rPr>
      </w:pPr>
      <w:r w:rsidRPr="006C0C8F">
        <w:rPr>
          <w:b/>
          <w:bCs/>
          <w:color w:val="auto"/>
        </w:rPr>
        <w:t>Focus on technical guidance</w:t>
      </w:r>
      <w:r w:rsidRPr="006C0C8F">
        <w:rPr>
          <w:color w:val="auto"/>
        </w:rPr>
        <w:t xml:space="preserve"> - The guidance provides a mix of advice about the technical requirements for assessment and tips on how to procure and manage the production of an assessment. We suggest that it would be better to focus the guidance on the technical aspects, moving the management advice to an annex, or a revised version of ‘A Guide to Commissioning a Landscape Capacity Study Toolkit’.</w:t>
      </w:r>
    </w:p>
    <w:p w14:paraId="668C04FE" w14:textId="77777777" w:rsidR="001B53D5" w:rsidRPr="006C0C8F" w:rsidRDefault="001B53D5" w:rsidP="006C0C8F">
      <w:pPr>
        <w:pStyle w:val="numberedlist"/>
        <w:rPr>
          <w:color w:val="auto"/>
        </w:rPr>
      </w:pPr>
      <w:r w:rsidRPr="006C0C8F">
        <w:rPr>
          <w:b/>
          <w:bCs/>
          <w:color w:val="auto"/>
        </w:rPr>
        <w:t>Clarity and tone</w:t>
      </w:r>
      <w:r w:rsidRPr="006C0C8F">
        <w:rPr>
          <w:color w:val="auto"/>
        </w:rPr>
        <w:t xml:space="preserve"> -The drafting could be improved to remove repetition and unclear wording. The guidance also occasionally makes assumptions about the reader’s opinions and such assumptions should not form part of best practice guidance.</w:t>
      </w:r>
    </w:p>
    <w:p w14:paraId="016C05A1" w14:textId="031FF81F" w:rsidR="00E42703" w:rsidRDefault="001B53D5" w:rsidP="00F20D37">
      <w:pPr>
        <w:pStyle w:val="numberedlist"/>
        <w:spacing w:before="0"/>
        <w:rPr>
          <w:color w:val="auto"/>
        </w:rPr>
      </w:pPr>
      <w:r w:rsidRPr="006C0C8F">
        <w:rPr>
          <w:b/>
          <w:bCs/>
          <w:color w:val="auto"/>
        </w:rPr>
        <w:t>Relationship to other guidance -</w:t>
      </w:r>
      <w:r w:rsidRPr="006C0C8F">
        <w:rPr>
          <w:color w:val="auto"/>
        </w:rPr>
        <w:t xml:space="preserve"> The relationship of this document to other SNH guidance is unclear. Tensions are created with other guidance and it is critical that these are resolved as part of the publication of this guidance. If they are not, the burden of resolving the differences between the documents is placed onto applicants and decision makers during the determination of development applications.</w:t>
      </w:r>
    </w:p>
    <w:p w14:paraId="7C7E79A7" w14:textId="77777777" w:rsidR="00F20D37" w:rsidRPr="00F20D37" w:rsidRDefault="00F20D37" w:rsidP="00F20D37">
      <w:pPr>
        <w:pStyle w:val="numberedlist"/>
        <w:numPr>
          <w:ilvl w:val="0"/>
          <w:numId w:val="0"/>
        </w:numPr>
        <w:spacing w:before="0"/>
        <w:ind w:left="1418"/>
        <w:rPr>
          <w:color w:val="auto"/>
        </w:rPr>
      </w:pPr>
    </w:p>
    <w:p w14:paraId="6BF57BC5" w14:textId="4E0DC5D9" w:rsidR="001B53D5" w:rsidRPr="006C0C8F" w:rsidRDefault="001B53D5" w:rsidP="00F20D37">
      <w:pPr>
        <w:jc w:val="both"/>
        <w:rPr>
          <w:lang w:val="en-US"/>
        </w:rPr>
      </w:pPr>
      <w:r w:rsidRPr="006C0C8F">
        <w:t xml:space="preserve">Our primary concern is that the interaction of language/approach, misleading examples, lack of clarity and an unresolved relationship to other guidance will mean that ‘business as usual’ prevails, with the guidance failing to achieve a meaningful change in approach to the consideration of landscape sensitivity in relation to renewables projects. </w:t>
      </w:r>
    </w:p>
    <w:p w14:paraId="53F065C4" w14:textId="77777777" w:rsidR="009C1AD9" w:rsidRPr="006C0C8F" w:rsidRDefault="009C1AD9" w:rsidP="006C0C8F">
      <w:pPr>
        <w:jc w:val="both"/>
        <w:rPr>
          <w:rFonts w:eastAsiaTheme="majorEastAsia" w:cs="Arial"/>
          <w:b/>
          <w:sz w:val="28"/>
          <w:szCs w:val="32"/>
          <w:lang w:bidi="en-US"/>
        </w:rPr>
      </w:pPr>
      <w:r w:rsidRPr="006C0C8F">
        <w:br w:type="page"/>
      </w:r>
    </w:p>
    <w:p w14:paraId="4BE6BE9B" w14:textId="4E2A9DB1" w:rsidR="004065D2" w:rsidRPr="006C0C8F" w:rsidRDefault="004065D2" w:rsidP="006C0C8F">
      <w:pPr>
        <w:pStyle w:val="Heading1"/>
      </w:pPr>
      <w:bookmarkStart w:id="3" w:name="_Toc48902200"/>
      <w:bookmarkStart w:id="4" w:name="_Toc48902670"/>
      <w:bookmarkStart w:id="5" w:name="_Toc48902755"/>
      <w:r w:rsidRPr="006C0C8F">
        <w:lastRenderedPageBreak/>
        <w:t>Theme A – Capacity vs. sensitivity</w:t>
      </w:r>
      <w:bookmarkEnd w:id="3"/>
      <w:bookmarkEnd w:id="4"/>
      <w:bookmarkEnd w:id="5"/>
    </w:p>
    <w:p w14:paraId="6E2B1174" w14:textId="15012840" w:rsidR="004065D2" w:rsidRPr="006C0C8F" w:rsidRDefault="004065D2" w:rsidP="006C0C8F">
      <w:pPr>
        <w:pStyle w:val="Heading2"/>
        <w:jc w:val="both"/>
      </w:pPr>
      <w:bookmarkStart w:id="6" w:name="_Toc48902201"/>
      <w:r w:rsidRPr="006C0C8F">
        <w:t>Introduction</w:t>
      </w:r>
      <w:bookmarkEnd w:id="6"/>
    </w:p>
    <w:p w14:paraId="1412AAF7" w14:textId="77777777" w:rsidR="001B53D5" w:rsidRPr="006C0C8F" w:rsidRDefault="001B53D5" w:rsidP="006C0C8F">
      <w:pPr>
        <w:jc w:val="both"/>
        <w:rPr>
          <w:lang w:val="en-US"/>
        </w:rPr>
      </w:pPr>
      <w:r w:rsidRPr="006C0C8F">
        <w:t>The intention to move away from ‘capacity assessment’ towards ‘sensitivity assessment’ is welcome, but the ‘capacity’ mindset appears to remain in the language used in some parts of the document and in the approach it advocates. The guidance as it stands seems unlikely to drive a mindset shift from seeking to restrict renewables development to seeking to guide and enable.</w:t>
      </w:r>
    </w:p>
    <w:p w14:paraId="2B3571B7" w14:textId="77777777" w:rsidR="001B53D5" w:rsidRPr="006C0C8F" w:rsidRDefault="001B53D5" w:rsidP="006C0C8F">
      <w:pPr>
        <w:pStyle w:val="Heading2"/>
        <w:jc w:val="both"/>
      </w:pPr>
      <w:bookmarkStart w:id="7" w:name="_Toc48902202"/>
      <w:r w:rsidRPr="006C0C8F">
        <w:t>Comments</w:t>
      </w:r>
      <w:bookmarkEnd w:id="7"/>
    </w:p>
    <w:p w14:paraId="3C5844DC" w14:textId="78F56F1A" w:rsidR="001B53D5" w:rsidRPr="006C0C8F" w:rsidRDefault="001B53D5" w:rsidP="006C0C8F">
      <w:pPr>
        <w:jc w:val="both"/>
        <w:rPr>
          <w:lang w:val="en-US"/>
        </w:rPr>
      </w:pPr>
      <w:r w:rsidRPr="006C0C8F">
        <w:rPr>
          <w:lang w:val="en-US"/>
        </w:rPr>
        <w:t>There are two ways in which the guidance appears to retain a mindset of considering capacity rather than sensitivity – the approach and the word selection</w:t>
      </w:r>
      <w:r w:rsidR="00AF329D" w:rsidRPr="006C0C8F">
        <w:rPr>
          <w:lang w:val="en-US"/>
        </w:rPr>
        <w:t xml:space="preserve"> – as set out below</w:t>
      </w:r>
      <w:r w:rsidRPr="006C0C8F">
        <w:rPr>
          <w:lang w:val="en-US"/>
        </w:rPr>
        <w:t>.</w:t>
      </w:r>
    </w:p>
    <w:p w14:paraId="21567B6C" w14:textId="77777777" w:rsidR="001B53D5" w:rsidRPr="006C0C8F" w:rsidRDefault="001B53D5" w:rsidP="006C0C8F">
      <w:pPr>
        <w:pStyle w:val="Heading3"/>
        <w:jc w:val="both"/>
      </w:pPr>
      <w:r w:rsidRPr="006C0C8F">
        <w:t>Approach</w:t>
      </w:r>
    </w:p>
    <w:p w14:paraId="0DC9AD5D" w14:textId="77777777" w:rsidR="001B53D5" w:rsidRPr="006C0C8F" w:rsidRDefault="001B53D5" w:rsidP="006C0C8F">
      <w:pPr>
        <w:pStyle w:val="Heading4"/>
      </w:pPr>
      <w:r w:rsidRPr="006C0C8F">
        <w:t>Explanation of terms</w:t>
      </w:r>
    </w:p>
    <w:p w14:paraId="0D0C7512" w14:textId="77777777" w:rsidR="001B53D5" w:rsidRPr="006C0C8F" w:rsidRDefault="001B53D5" w:rsidP="006C0C8F">
      <w:pPr>
        <w:jc w:val="both"/>
      </w:pPr>
      <w:r w:rsidRPr="006C0C8F">
        <w:t xml:space="preserve">Paragraphs 5-8 are perhaps useful background information for a limited audience at this consultation stage, but unhelpfully blur the boundaries between capacity and sensitivity studies and appear to suggest that a ‘continue as before’ approach is acceptable / encouraged. References to previous changes and discussions which readers may not have been aware of also make this section confusing. </w:t>
      </w:r>
    </w:p>
    <w:p w14:paraId="31F3F46E" w14:textId="77777777" w:rsidR="001B53D5" w:rsidRPr="006C0C8F" w:rsidRDefault="001B53D5" w:rsidP="006C0C8F">
      <w:pPr>
        <w:jc w:val="both"/>
      </w:pPr>
      <w:r w:rsidRPr="006C0C8F">
        <w:t>The guidance needs to clearly set the path forward. It is suggested that this section has no place in this guidance, though the definition of sensitivity from GLVIA3 might be usefully moved to the ‘definitions’ section at the start of para 12.</w:t>
      </w:r>
    </w:p>
    <w:p w14:paraId="76F4DEF9" w14:textId="77777777" w:rsidR="001B53D5" w:rsidRPr="006C0C8F" w:rsidRDefault="001B53D5" w:rsidP="006C0C8F">
      <w:pPr>
        <w:pStyle w:val="Heading4"/>
      </w:pPr>
      <w:r w:rsidRPr="006C0C8F">
        <w:t>Suitability for development</w:t>
      </w:r>
    </w:p>
    <w:p w14:paraId="2B1AED72" w14:textId="77777777" w:rsidR="001B53D5" w:rsidRPr="006C0C8F" w:rsidRDefault="001B53D5" w:rsidP="006C0C8F">
      <w:pPr>
        <w:jc w:val="both"/>
      </w:pPr>
      <w:r w:rsidRPr="006C0C8F">
        <w:t>A key difference in considering sensitivity rather than capacity is that no area should be considered unsuitable for development or unable to accommodate development – areas may be assessed as more sensitive to change or less sensitive, but that is as far as a sensitivity study assessment should go. Judgements regarding whether development should or should not happen in more sensitive areas are a matter for policy and should not be either implicitly or explicitly made in a sensitivity study.</w:t>
      </w:r>
    </w:p>
    <w:p w14:paraId="4313F2F9" w14:textId="77777777" w:rsidR="001B53D5" w:rsidRPr="006C0C8F" w:rsidRDefault="001B53D5" w:rsidP="006C0C8F">
      <w:pPr>
        <w:jc w:val="both"/>
      </w:pPr>
      <w:r w:rsidRPr="006C0C8F">
        <w:t>The draft guidance retains a focus on identifying suitability for development. In particular this is embodied in the approach at 3.15 where it is suggested that design guidance should be restricted to areas ‘identified as having some sort of potential to accommodate development’, and again at 5.3 where it is suggested that a sensitivity study would have identified ‘predicted locations’ for development which should be reviewed.</w:t>
      </w:r>
    </w:p>
    <w:p w14:paraId="6F5D1C03" w14:textId="77777777" w:rsidR="001B53D5" w:rsidRPr="006C0C8F" w:rsidRDefault="001B53D5" w:rsidP="006C0C8F">
      <w:pPr>
        <w:pStyle w:val="Heading4"/>
      </w:pPr>
      <w:r w:rsidRPr="006C0C8F">
        <w:t>Outcomes &amp; purpose</w:t>
      </w:r>
    </w:p>
    <w:p w14:paraId="62088BF5" w14:textId="32BFB1B7" w:rsidR="001B53D5" w:rsidRPr="006C0C8F" w:rsidRDefault="001B53D5" w:rsidP="006C0C8F">
      <w:pPr>
        <w:jc w:val="both"/>
      </w:pPr>
      <w:r w:rsidRPr="006C0C8F">
        <w:t>A sensitivity study can provide valuable advice to decision makers and developers in seeking to guide development to more suitable locations. However, the most useful elements in the better studies are the analyses of what is important to the character and value of an area of landscape. It is these detailed considerations which enable better decision-making.</w:t>
      </w:r>
    </w:p>
    <w:p w14:paraId="7CEE335B" w14:textId="77777777" w:rsidR="001B53D5" w:rsidRPr="006C0C8F" w:rsidRDefault="001B53D5" w:rsidP="006C0C8F">
      <w:pPr>
        <w:jc w:val="both"/>
      </w:pPr>
      <w:r w:rsidRPr="006C0C8F">
        <w:lastRenderedPageBreak/>
        <w:t>Section 3 of the document appears to focus instead on the sensitivity ratings as being the most important outcomes of the assessment. This is noticeable at 3.3 which suggests sensitivity maps as a key draft output for review, and at 3.9-3.10 where it is assumed that the ratings are the purpose of the assessment and the considerations behind that are merely supporting information. A change of emphasis to make analysis and advice as important as ratings would be beneficial.</w:t>
      </w:r>
    </w:p>
    <w:p w14:paraId="593525D7" w14:textId="77777777" w:rsidR="001B53D5" w:rsidRPr="006C0C8F" w:rsidRDefault="001B53D5" w:rsidP="006C0C8F">
      <w:pPr>
        <w:pStyle w:val="Heading4"/>
      </w:pPr>
      <w:r w:rsidRPr="006C0C8F">
        <w:t>Constrained scenario focused approach</w:t>
      </w:r>
    </w:p>
    <w:p w14:paraId="66F985A4" w14:textId="4B934F05" w:rsidR="001B53D5" w:rsidRPr="006C0C8F" w:rsidRDefault="001B53D5" w:rsidP="006C0C8F">
      <w:pPr>
        <w:jc w:val="both"/>
      </w:pPr>
      <w:r w:rsidRPr="006C0C8F">
        <w:t xml:space="preserve">Paragraphs 19-20 and section 2.1 encourage quite specific scenario </w:t>
      </w:r>
      <w:proofErr w:type="gramStart"/>
      <w:r w:rsidRPr="006C0C8F">
        <w:t>description,</w:t>
      </w:r>
      <w:proofErr w:type="gramEnd"/>
      <w:r w:rsidRPr="006C0C8F">
        <w:t xml:space="preserve"> however this can lead to constraining and complex studies which </w:t>
      </w:r>
      <w:r w:rsidR="003B7737" w:rsidRPr="006C0C8F">
        <w:t xml:space="preserve">easily </w:t>
      </w:r>
      <w:r w:rsidRPr="006C0C8F">
        <w:t xml:space="preserve">become outdated. The suggestions at 2.1.1 and 2.1.2 are more appropriate for design advice and that level of detail about design and materials or tree species should not be included in scenarios. The advice that development design should be assumed to conform with best practice is important </w:t>
      </w:r>
      <w:r w:rsidR="00AF329D" w:rsidRPr="006C0C8F">
        <w:t>and</w:t>
      </w:r>
      <w:r w:rsidRPr="006C0C8F">
        <w:t xml:space="preserve"> </w:t>
      </w:r>
      <w:r w:rsidR="00AF329D" w:rsidRPr="006C0C8F">
        <w:t>is</w:t>
      </w:r>
      <w:r w:rsidRPr="006C0C8F">
        <w:t xml:space="preserve"> a sufficient basis for a suitably experienced assessor to work with, without describing in detail what that means.</w:t>
      </w:r>
    </w:p>
    <w:p w14:paraId="0D88CAEF" w14:textId="77777777" w:rsidR="001B53D5" w:rsidRPr="006C0C8F" w:rsidRDefault="001B53D5" w:rsidP="006C0C8F">
      <w:pPr>
        <w:jc w:val="both"/>
      </w:pPr>
      <w:r w:rsidRPr="006C0C8F">
        <w:t>It is possible to do things differently to produce assessments which are more adaptable. For instance, the traditional approach to wind feasibility studies often uses a grid like that below:</w:t>
      </w:r>
    </w:p>
    <w:tbl>
      <w:tblPr>
        <w:tblStyle w:val="SH1"/>
        <w:tblW w:w="9356" w:type="dxa"/>
        <w:tblLayout w:type="fixed"/>
        <w:tblLook w:val="04A0" w:firstRow="1" w:lastRow="0" w:firstColumn="1" w:lastColumn="0" w:noHBand="0" w:noVBand="1"/>
      </w:tblPr>
      <w:tblGrid>
        <w:gridCol w:w="1276"/>
        <w:gridCol w:w="2410"/>
        <w:gridCol w:w="1417"/>
        <w:gridCol w:w="1424"/>
        <w:gridCol w:w="1411"/>
        <w:gridCol w:w="1418"/>
      </w:tblGrid>
      <w:tr w:rsidR="006C0C8F" w:rsidRPr="00F20D37" w14:paraId="3FAD8836" w14:textId="77777777" w:rsidTr="00AF329D">
        <w:trPr>
          <w:cnfStyle w:val="100000000000" w:firstRow="1" w:lastRow="0" w:firstColumn="0" w:lastColumn="0" w:oddVBand="0" w:evenVBand="0" w:oddHBand="0" w:evenHBand="0" w:firstRowFirstColumn="0" w:firstRowLastColumn="0" w:lastRowFirstColumn="0" w:lastRowLastColumn="0"/>
        </w:trPr>
        <w:tc>
          <w:tcPr>
            <w:tcW w:w="1276" w:type="dxa"/>
            <w:tcBorders>
              <w:bottom w:val="single" w:sz="4" w:space="0" w:color="00B0F0"/>
            </w:tcBorders>
            <w:shd w:val="clear" w:color="auto" w:fill="00B0F0"/>
          </w:tcPr>
          <w:p w14:paraId="6F831F2C" w14:textId="77777777" w:rsidR="00D92CFA" w:rsidRPr="00F20D37" w:rsidRDefault="00D92CFA" w:rsidP="00F20D37">
            <w:pPr>
              <w:pStyle w:val="Tablehead"/>
              <w:spacing w:after="240"/>
              <w:jc w:val="both"/>
              <w:rPr>
                <w:rFonts w:cs="Arial"/>
                <w:color w:val="auto"/>
              </w:rPr>
            </w:pPr>
            <w:r w:rsidRPr="00F20D37">
              <w:rPr>
                <w:rFonts w:cs="Arial"/>
                <w:color w:val="auto"/>
              </w:rPr>
              <w:t>Criterion</w:t>
            </w:r>
          </w:p>
        </w:tc>
        <w:tc>
          <w:tcPr>
            <w:tcW w:w="2410" w:type="dxa"/>
            <w:tcBorders>
              <w:bottom w:val="single" w:sz="4" w:space="0" w:color="00B0F0"/>
            </w:tcBorders>
            <w:shd w:val="clear" w:color="auto" w:fill="00B0F0"/>
          </w:tcPr>
          <w:p w14:paraId="144FC682" w14:textId="77777777" w:rsidR="00D92CFA" w:rsidRPr="00F20D37" w:rsidRDefault="00D92CFA" w:rsidP="00F20D37">
            <w:pPr>
              <w:pStyle w:val="Tablehead"/>
              <w:spacing w:after="240"/>
              <w:jc w:val="both"/>
              <w:rPr>
                <w:rFonts w:cs="Arial"/>
                <w:color w:val="auto"/>
              </w:rPr>
            </w:pPr>
            <w:r w:rsidRPr="00F20D37">
              <w:rPr>
                <w:rFonts w:cs="Arial"/>
                <w:color w:val="auto"/>
              </w:rPr>
              <w:t>Considerations</w:t>
            </w:r>
          </w:p>
          <w:p w14:paraId="537F35E1" w14:textId="77777777" w:rsidR="00D92CFA" w:rsidRPr="00F20D37" w:rsidRDefault="00D92CFA" w:rsidP="00F20D37">
            <w:pPr>
              <w:pStyle w:val="Tablehead"/>
              <w:spacing w:after="240"/>
              <w:jc w:val="both"/>
              <w:rPr>
                <w:rFonts w:cs="Arial"/>
                <w:color w:val="auto"/>
              </w:rPr>
            </w:pPr>
          </w:p>
        </w:tc>
        <w:tc>
          <w:tcPr>
            <w:tcW w:w="1417" w:type="dxa"/>
            <w:tcBorders>
              <w:bottom w:val="single" w:sz="4" w:space="0" w:color="00B0F0"/>
            </w:tcBorders>
            <w:shd w:val="clear" w:color="auto" w:fill="00B0F0"/>
          </w:tcPr>
          <w:p w14:paraId="5242CB9C" w14:textId="77777777" w:rsidR="00D92CFA" w:rsidRPr="00F20D37" w:rsidRDefault="00D92CFA" w:rsidP="00F20D37">
            <w:pPr>
              <w:pStyle w:val="Tablehead"/>
              <w:spacing w:after="240"/>
              <w:jc w:val="both"/>
              <w:rPr>
                <w:rFonts w:cs="Arial"/>
                <w:color w:val="auto"/>
              </w:rPr>
            </w:pPr>
            <w:r w:rsidRPr="00F20D37">
              <w:rPr>
                <w:rFonts w:cs="Arial"/>
                <w:color w:val="auto"/>
              </w:rPr>
              <w:t>Under 50m</w:t>
            </w:r>
          </w:p>
        </w:tc>
        <w:tc>
          <w:tcPr>
            <w:tcW w:w="1424" w:type="dxa"/>
            <w:tcBorders>
              <w:bottom w:val="single" w:sz="4" w:space="0" w:color="00B0F0"/>
            </w:tcBorders>
            <w:shd w:val="clear" w:color="auto" w:fill="00B0F0"/>
          </w:tcPr>
          <w:p w14:paraId="6789F576" w14:textId="77777777" w:rsidR="00D92CFA" w:rsidRPr="00F20D37" w:rsidRDefault="00D92CFA" w:rsidP="00F20D37">
            <w:pPr>
              <w:pStyle w:val="Tablehead"/>
              <w:spacing w:after="240"/>
              <w:jc w:val="both"/>
              <w:rPr>
                <w:rFonts w:cs="Arial"/>
                <w:color w:val="auto"/>
              </w:rPr>
            </w:pPr>
            <w:r w:rsidRPr="00F20D37">
              <w:rPr>
                <w:rFonts w:cs="Arial"/>
                <w:color w:val="auto"/>
              </w:rPr>
              <w:t>50-100m</w:t>
            </w:r>
          </w:p>
        </w:tc>
        <w:tc>
          <w:tcPr>
            <w:tcW w:w="1411" w:type="dxa"/>
            <w:tcBorders>
              <w:bottom w:val="single" w:sz="4" w:space="0" w:color="00B0F0"/>
            </w:tcBorders>
            <w:shd w:val="clear" w:color="auto" w:fill="00B0F0"/>
          </w:tcPr>
          <w:p w14:paraId="329AAF3F" w14:textId="77777777" w:rsidR="00D92CFA" w:rsidRPr="00F20D37" w:rsidRDefault="00D92CFA" w:rsidP="00F20D37">
            <w:pPr>
              <w:pStyle w:val="Tablehead"/>
              <w:spacing w:after="240"/>
              <w:jc w:val="both"/>
              <w:rPr>
                <w:rFonts w:cs="Arial"/>
                <w:color w:val="auto"/>
              </w:rPr>
            </w:pPr>
            <w:r w:rsidRPr="00F20D37">
              <w:rPr>
                <w:rFonts w:cs="Arial"/>
                <w:color w:val="auto"/>
              </w:rPr>
              <w:t>100-150m</w:t>
            </w:r>
          </w:p>
        </w:tc>
        <w:tc>
          <w:tcPr>
            <w:tcW w:w="1418" w:type="dxa"/>
            <w:tcBorders>
              <w:bottom w:val="single" w:sz="4" w:space="0" w:color="00B0F0"/>
            </w:tcBorders>
            <w:shd w:val="clear" w:color="auto" w:fill="00B0F0"/>
          </w:tcPr>
          <w:p w14:paraId="7341D5A1" w14:textId="77777777" w:rsidR="00D92CFA" w:rsidRPr="00F20D37" w:rsidRDefault="00D92CFA" w:rsidP="00F20D37">
            <w:pPr>
              <w:pStyle w:val="Tablehead"/>
              <w:spacing w:after="240"/>
              <w:jc w:val="both"/>
              <w:rPr>
                <w:rFonts w:cs="Arial"/>
                <w:color w:val="auto"/>
              </w:rPr>
            </w:pPr>
            <w:r w:rsidRPr="00F20D37">
              <w:rPr>
                <w:rFonts w:cs="Arial"/>
                <w:color w:val="auto"/>
              </w:rPr>
              <w:t>150m +</w:t>
            </w:r>
          </w:p>
        </w:tc>
      </w:tr>
      <w:tr w:rsidR="006C0C8F" w:rsidRPr="00F20D37" w14:paraId="539DA4CF" w14:textId="77777777" w:rsidTr="00AF329D">
        <w:tc>
          <w:tcPr>
            <w:tcW w:w="1276" w:type="dxa"/>
            <w:tcBorders>
              <w:top w:val="single" w:sz="4" w:space="0" w:color="00B0F0"/>
              <w:bottom w:val="single" w:sz="4" w:space="0" w:color="00B0F0"/>
              <w:right w:val="single" w:sz="4" w:space="0" w:color="00B0F0"/>
            </w:tcBorders>
          </w:tcPr>
          <w:p w14:paraId="7F4F49DE"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1 xxx</w:t>
            </w:r>
          </w:p>
        </w:tc>
        <w:tc>
          <w:tcPr>
            <w:tcW w:w="2410" w:type="dxa"/>
            <w:tcBorders>
              <w:top w:val="single" w:sz="4" w:space="0" w:color="00B0F0"/>
              <w:left w:val="single" w:sz="4" w:space="0" w:color="00B0F0"/>
              <w:bottom w:val="single" w:sz="4" w:space="0" w:color="00B0F0"/>
              <w:right w:val="single" w:sz="4" w:space="0" w:color="00B0F0"/>
            </w:tcBorders>
          </w:tcPr>
          <w:p w14:paraId="4E4221A1" w14:textId="18C86FD9"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A description of susceptibilities relevant to the character area</w:t>
            </w:r>
          </w:p>
        </w:tc>
        <w:tc>
          <w:tcPr>
            <w:tcW w:w="1417" w:type="dxa"/>
            <w:tcBorders>
              <w:top w:val="single" w:sz="4" w:space="0" w:color="00B0F0"/>
              <w:left w:val="single" w:sz="4" w:space="0" w:color="00B0F0"/>
              <w:bottom w:val="single" w:sz="4" w:space="0" w:color="00B0F0"/>
              <w:right w:val="single" w:sz="4" w:space="0" w:color="00B0F0"/>
            </w:tcBorders>
          </w:tcPr>
          <w:p w14:paraId="5A10F873"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424" w:type="dxa"/>
            <w:tcBorders>
              <w:top w:val="single" w:sz="4" w:space="0" w:color="00B0F0"/>
              <w:left w:val="single" w:sz="4" w:space="0" w:color="00B0F0"/>
              <w:bottom w:val="single" w:sz="4" w:space="0" w:color="00B0F0"/>
              <w:right w:val="single" w:sz="4" w:space="0" w:color="00B0F0"/>
            </w:tcBorders>
          </w:tcPr>
          <w:p w14:paraId="5818413F"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411" w:type="dxa"/>
            <w:tcBorders>
              <w:top w:val="single" w:sz="4" w:space="0" w:color="00B0F0"/>
              <w:left w:val="single" w:sz="4" w:space="0" w:color="00B0F0"/>
              <w:bottom w:val="single" w:sz="4" w:space="0" w:color="00B0F0"/>
              <w:right w:val="single" w:sz="4" w:space="0" w:color="00B0F0"/>
            </w:tcBorders>
          </w:tcPr>
          <w:p w14:paraId="358BF630"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418" w:type="dxa"/>
            <w:tcBorders>
              <w:top w:val="single" w:sz="4" w:space="0" w:color="00B0F0"/>
              <w:left w:val="single" w:sz="4" w:space="0" w:color="00B0F0"/>
              <w:bottom w:val="single" w:sz="4" w:space="0" w:color="00B0F0"/>
            </w:tcBorders>
          </w:tcPr>
          <w:p w14:paraId="55706348"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r>
      <w:tr w:rsidR="006C0C8F" w:rsidRPr="00F20D37" w14:paraId="2F00089C" w14:textId="77777777" w:rsidTr="00AF329D">
        <w:tc>
          <w:tcPr>
            <w:tcW w:w="1276" w:type="dxa"/>
            <w:tcBorders>
              <w:top w:val="single" w:sz="4" w:space="0" w:color="00B0F0"/>
              <w:bottom w:val="single" w:sz="4" w:space="0" w:color="00B0F0"/>
              <w:right w:val="single" w:sz="4" w:space="0" w:color="00B0F0"/>
            </w:tcBorders>
          </w:tcPr>
          <w:p w14:paraId="61C8895D"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 xml:space="preserve">2 </w:t>
            </w:r>
            <w:proofErr w:type="spellStart"/>
            <w:r w:rsidRPr="00F20D37">
              <w:rPr>
                <w:rFonts w:ascii="Arial" w:hAnsi="Arial" w:cs="Arial"/>
                <w:color w:val="auto"/>
              </w:rPr>
              <w:t>yyy</w:t>
            </w:r>
            <w:proofErr w:type="spellEnd"/>
          </w:p>
        </w:tc>
        <w:tc>
          <w:tcPr>
            <w:tcW w:w="2410" w:type="dxa"/>
            <w:tcBorders>
              <w:top w:val="single" w:sz="4" w:space="0" w:color="00B0F0"/>
              <w:left w:val="single" w:sz="4" w:space="0" w:color="00B0F0"/>
              <w:bottom w:val="single" w:sz="4" w:space="0" w:color="00B0F0"/>
              <w:right w:val="single" w:sz="4" w:space="0" w:color="00B0F0"/>
            </w:tcBorders>
          </w:tcPr>
          <w:p w14:paraId="7D928524" w14:textId="5C77A648"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A description of susceptibilities relevant to the character area</w:t>
            </w:r>
          </w:p>
        </w:tc>
        <w:tc>
          <w:tcPr>
            <w:tcW w:w="1417" w:type="dxa"/>
            <w:tcBorders>
              <w:top w:val="single" w:sz="4" w:space="0" w:color="00B0F0"/>
              <w:left w:val="single" w:sz="4" w:space="0" w:color="00B0F0"/>
              <w:bottom w:val="single" w:sz="4" w:space="0" w:color="00B0F0"/>
              <w:right w:val="single" w:sz="4" w:space="0" w:color="00B0F0"/>
            </w:tcBorders>
          </w:tcPr>
          <w:p w14:paraId="790AA737"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424" w:type="dxa"/>
            <w:tcBorders>
              <w:top w:val="single" w:sz="4" w:space="0" w:color="00B0F0"/>
              <w:left w:val="single" w:sz="4" w:space="0" w:color="00B0F0"/>
              <w:bottom w:val="single" w:sz="4" w:space="0" w:color="00B0F0"/>
              <w:right w:val="single" w:sz="4" w:space="0" w:color="00B0F0"/>
            </w:tcBorders>
          </w:tcPr>
          <w:p w14:paraId="28BDF3F9"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411" w:type="dxa"/>
            <w:tcBorders>
              <w:top w:val="single" w:sz="4" w:space="0" w:color="00B0F0"/>
              <w:left w:val="single" w:sz="4" w:space="0" w:color="00B0F0"/>
              <w:bottom w:val="single" w:sz="4" w:space="0" w:color="00B0F0"/>
              <w:right w:val="single" w:sz="4" w:space="0" w:color="00B0F0"/>
            </w:tcBorders>
          </w:tcPr>
          <w:p w14:paraId="1A456F33"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418" w:type="dxa"/>
            <w:tcBorders>
              <w:top w:val="single" w:sz="4" w:space="0" w:color="00B0F0"/>
              <w:left w:val="single" w:sz="4" w:space="0" w:color="00B0F0"/>
              <w:bottom w:val="single" w:sz="4" w:space="0" w:color="00B0F0"/>
            </w:tcBorders>
          </w:tcPr>
          <w:p w14:paraId="74C7C5E6"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r>
      <w:tr w:rsidR="006C0C8F" w:rsidRPr="00F20D37" w14:paraId="6C26FD68" w14:textId="77777777" w:rsidTr="00AF329D">
        <w:tc>
          <w:tcPr>
            <w:tcW w:w="1276" w:type="dxa"/>
            <w:tcBorders>
              <w:top w:val="single" w:sz="4" w:space="0" w:color="00B0F0"/>
              <w:bottom w:val="single" w:sz="4" w:space="0" w:color="00B0F0"/>
              <w:right w:val="single" w:sz="4" w:space="0" w:color="00B0F0"/>
            </w:tcBorders>
          </w:tcPr>
          <w:p w14:paraId="2F570C7C" w14:textId="77777777" w:rsidR="00D92CFA" w:rsidRPr="00F20D37" w:rsidRDefault="00D92CFA" w:rsidP="00F20D37">
            <w:pPr>
              <w:pStyle w:val="Tablebody"/>
              <w:spacing w:after="240"/>
              <w:jc w:val="both"/>
              <w:rPr>
                <w:rFonts w:ascii="Arial" w:hAnsi="Arial" w:cs="Arial"/>
                <w:color w:val="auto"/>
              </w:rPr>
            </w:pPr>
            <w:proofErr w:type="spellStart"/>
            <w:r w:rsidRPr="00F20D37">
              <w:rPr>
                <w:rFonts w:ascii="Arial" w:hAnsi="Arial" w:cs="Arial"/>
                <w:color w:val="auto"/>
              </w:rPr>
              <w:t>etc</w:t>
            </w:r>
            <w:proofErr w:type="spellEnd"/>
          </w:p>
        </w:tc>
        <w:tc>
          <w:tcPr>
            <w:tcW w:w="2410" w:type="dxa"/>
            <w:tcBorders>
              <w:top w:val="single" w:sz="4" w:space="0" w:color="00B0F0"/>
              <w:left w:val="single" w:sz="4" w:space="0" w:color="00B0F0"/>
              <w:bottom w:val="single" w:sz="4" w:space="0" w:color="00B0F0"/>
              <w:right w:val="single" w:sz="4" w:space="0" w:color="00B0F0"/>
            </w:tcBorders>
          </w:tcPr>
          <w:p w14:paraId="3986B349" w14:textId="77777777" w:rsidR="00D92CFA" w:rsidRPr="00F20D37" w:rsidRDefault="00D92CFA" w:rsidP="00F20D37">
            <w:pPr>
              <w:pStyle w:val="Tablebody"/>
              <w:spacing w:after="240"/>
              <w:jc w:val="both"/>
              <w:rPr>
                <w:rFonts w:ascii="Arial" w:hAnsi="Arial" w:cs="Arial"/>
                <w:color w:val="auto"/>
              </w:rPr>
            </w:pPr>
          </w:p>
        </w:tc>
        <w:tc>
          <w:tcPr>
            <w:tcW w:w="1417" w:type="dxa"/>
            <w:tcBorders>
              <w:top w:val="single" w:sz="4" w:space="0" w:color="00B0F0"/>
              <w:left w:val="single" w:sz="4" w:space="0" w:color="00B0F0"/>
              <w:bottom w:val="single" w:sz="4" w:space="0" w:color="00B0F0"/>
              <w:right w:val="single" w:sz="4" w:space="0" w:color="00B0F0"/>
            </w:tcBorders>
          </w:tcPr>
          <w:p w14:paraId="7F98C0DF" w14:textId="77777777" w:rsidR="00D92CFA" w:rsidRPr="00F20D37" w:rsidRDefault="00D92CFA" w:rsidP="00F20D37">
            <w:pPr>
              <w:pStyle w:val="Tablebody"/>
              <w:spacing w:after="240"/>
              <w:jc w:val="both"/>
              <w:rPr>
                <w:rFonts w:ascii="Arial" w:hAnsi="Arial" w:cs="Arial"/>
                <w:color w:val="auto"/>
              </w:rPr>
            </w:pPr>
          </w:p>
        </w:tc>
        <w:tc>
          <w:tcPr>
            <w:tcW w:w="1424" w:type="dxa"/>
            <w:tcBorders>
              <w:top w:val="single" w:sz="4" w:space="0" w:color="00B0F0"/>
              <w:left w:val="single" w:sz="4" w:space="0" w:color="00B0F0"/>
              <w:bottom w:val="single" w:sz="4" w:space="0" w:color="00B0F0"/>
              <w:right w:val="single" w:sz="4" w:space="0" w:color="00B0F0"/>
            </w:tcBorders>
          </w:tcPr>
          <w:p w14:paraId="222C248C" w14:textId="77777777" w:rsidR="00D92CFA" w:rsidRPr="00F20D37" w:rsidRDefault="00D92CFA" w:rsidP="00F20D37">
            <w:pPr>
              <w:pStyle w:val="Tablebody"/>
              <w:spacing w:after="240"/>
              <w:jc w:val="both"/>
              <w:rPr>
                <w:rFonts w:ascii="Arial" w:hAnsi="Arial" w:cs="Arial"/>
                <w:color w:val="auto"/>
              </w:rPr>
            </w:pPr>
          </w:p>
        </w:tc>
        <w:tc>
          <w:tcPr>
            <w:tcW w:w="1411" w:type="dxa"/>
            <w:tcBorders>
              <w:top w:val="single" w:sz="4" w:space="0" w:color="00B0F0"/>
              <w:left w:val="single" w:sz="4" w:space="0" w:color="00B0F0"/>
              <w:bottom w:val="single" w:sz="4" w:space="0" w:color="00B0F0"/>
              <w:right w:val="single" w:sz="4" w:space="0" w:color="00B0F0"/>
            </w:tcBorders>
          </w:tcPr>
          <w:p w14:paraId="1282DA51" w14:textId="77777777" w:rsidR="00D92CFA" w:rsidRPr="00F20D37" w:rsidRDefault="00D92CFA" w:rsidP="00F20D37">
            <w:pPr>
              <w:pStyle w:val="Tablebody"/>
              <w:spacing w:after="240"/>
              <w:jc w:val="both"/>
              <w:rPr>
                <w:rFonts w:ascii="Arial" w:hAnsi="Arial" w:cs="Arial"/>
                <w:color w:val="auto"/>
              </w:rPr>
            </w:pPr>
          </w:p>
        </w:tc>
        <w:tc>
          <w:tcPr>
            <w:tcW w:w="1418" w:type="dxa"/>
            <w:tcBorders>
              <w:top w:val="single" w:sz="4" w:space="0" w:color="00B0F0"/>
              <w:left w:val="single" w:sz="4" w:space="0" w:color="00B0F0"/>
              <w:bottom w:val="single" w:sz="4" w:space="0" w:color="00B0F0"/>
            </w:tcBorders>
          </w:tcPr>
          <w:p w14:paraId="40FE0588" w14:textId="77777777" w:rsidR="00D92CFA" w:rsidRPr="00F20D37" w:rsidRDefault="00D92CFA" w:rsidP="00F20D37">
            <w:pPr>
              <w:pStyle w:val="Tablebody"/>
              <w:spacing w:after="240"/>
              <w:jc w:val="both"/>
              <w:rPr>
                <w:rFonts w:ascii="Arial" w:hAnsi="Arial" w:cs="Arial"/>
                <w:color w:val="auto"/>
              </w:rPr>
            </w:pPr>
          </w:p>
        </w:tc>
      </w:tr>
      <w:tr w:rsidR="006C0C8F" w:rsidRPr="00F20D37" w14:paraId="5C924AB0" w14:textId="77777777" w:rsidTr="00AF329D">
        <w:tc>
          <w:tcPr>
            <w:tcW w:w="1276" w:type="dxa"/>
            <w:tcBorders>
              <w:top w:val="single" w:sz="4" w:space="0" w:color="00B0F0"/>
              <w:bottom w:val="nil"/>
              <w:right w:val="single" w:sz="4" w:space="0" w:color="00B0F0"/>
            </w:tcBorders>
          </w:tcPr>
          <w:p w14:paraId="2ED4782B"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Overall rating</w:t>
            </w:r>
          </w:p>
        </w:tc>
        <w:tc>
          <w:tcPr>
            <w:tcW w:w="2410" w:type="dxa"/>
            <w:tcBorders>
              <w:top w:val="single" w:sz="4" w:space="0" w:color="00B0F0"/>
              <w:left w:val="single" w:sz="4" w:space="0" w:color="00B0F0"/>
              <w:bottom w:val="nil"/>
              <w:right w:val="single" w:sz="4" w:space="0" w:color="00B0F0"/>
            </w:tcBorders>
          </w:tcPr>
          <w:p w14:paraId="2812C6FD" w14:textId="77777777" w:rsidR="00D92CFA" w:rsidRPr="00F20D37" w:rsidRDefault="00D92CFA" w:rsidP="00F20D37">
            <w:pPr>
              <w:pStyle w:val="Tablebody"/>
              <w:spacing w:after="240"/>
              <w:jc w:val="both"/>
              <w:rPr>
                <w:rFonts w:ascii="Arial" w:hAnsi="Arial" w:cs="Arial"/>
                <w:color w:val="auto"/>
              </w:rPr>
            </w:pPr>
          </w:p>
        </w:tc>
        <w:tc>
          <w:tcPr>
            <w:tcW w:w="1417" w:type="dxa"/>
            <w:tcBorders>
              <w:top w:val="single" w:sz="4" w:space="0" w:color="00B0F0"/>
              <w:left w:val="single" w:sz="4" w:space="0" w:color="00B0F0"/>
              <w:bottom w:val="nil"/>
              <w:right w:val="single" w:sz="4" w:space="0" w:color="00B0F0"/>
            </w:tcBorders>
          </w:tcPr>
          <w:p w14:paraId="7368A8AE"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 xml:space="preserve">Sensitivity rating </w:t>
            </w:r>
          </w:p>
        </w:tc>
        <w:tc>
          <w:tcPr>
            <w:tcW w:w="1424" w:type="dxa"/>
            <w:tcBorders>
              <w:top w:val="single" w:sz="4" w:space="0" w:color="00B0F0"/>
              <w:left w:val="single" w:sz="4" w:space="0" w:color="00B0F0"/>
              <w:bottom w:val="nil"/>
              <w:right w:val="single" w:sz="4" w:space="0" w:color="00B0F0"/>
            </w:tcBorders>
          </w:tcPr>
          <w:p w14:paraId="111C1413"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 xml:space="preserve">Sensitivity rating </w:t>
            </w:r>
          </w:p>
        </w:tc>
        <w:tc>
          <w:tcPr>
            <w:tcW w:w="1411" w:type="dxa"/>
            <w:tcBorders>
              <w:top w:val="single" w:sz="4" w:space="0" w:color="00B0F0"/>
              <w:left w:val="single" w:sz="4" w:space="0" w:color="00B0F0"/>
              <w:bottom w:val="nil"/>
              <w:right w:val="single" w:sz="4" w:space="0" w:color="00B0F0"/>
            </w:tcBorders>
          </w:tcPr>
          <w:p w14:paraId="7D3ACFED"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Sensitivity rating</w:t>
            </w:r>
          </w:p>
        </w:tc>
        <w:tc>
          <w:tcPr>
            <w:tcW w:w="1418" w:type="dxa"/>
            <w:tcBorders>
              <w:top w:val="single" w:sz="4" w:space="0" w:color="00B0F0"/>
              <w:left w:val="single" w:sz="4" w:space="0" w:color="00B0F0"/>
              <w:bottom w:val="nil"/>
            </w:tcBorders>
          </w:tcPr>
          <w:p w14:paraId="5447ABAF"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Sensitivity rating</w:t>
            </w:r>
          </w:p>
        </w:tc>
      </w:tr>
    </w:tbl>
    <w:p w14:paraId="3A32E9C1" w14:textId="77777777" w:rsidR="00D92CFA" w:rsidRPr="00F20D37" w:rsidRDefault="00D92CFA" w:rsidP="006C0C8F">
      <w:pPr>
        <w:jc w:val="both"/>
        <w:rPr>
          <w:rFonts w:cs="Arial"/>
        </w:rPr>
      </w:pPr>
    </w:p>
    <w:p w14:paraId="73483446" w14:textId="2D24E00E" w:rsidR="00D92CFA" w:rsidRPr="00F20D37" w:rsidRDefault="00F20D37" w:rsidP="006C0C8F">
      <w:pPr>
        <w:jc w:val="both"/>
        <w:rPr>
          <w:rFonts w:cs="Arial"/>
        </w:rPr>
      </w:pPr>
      <w:r w:rsidRPr="00F20D37">
        <w:rPr>
          <w:rFonts w:cs="Arial"/>
        </w:rPr>
        <w:t>However,</w:t>
      </w:r>
      <w:r w:rsidR="00D92CFA" w:rsidRPr="00F20D37">
        <w:rPr>
          <w:rFonts w:cs="Arial"/>
        </w:rPr>
        <w:t xml:space="preserve"> it is possible to construct a different approach such as:</w:t>
      </w:r>
    </w:p>
    <w:tbl>
      <w:tblPr>
        <w:tblStyle w:val="SH1"/>
        <w:tblW w:w="9356" w:type="dxa"/>
        <w:tblLook w:val="04A0" w:firstRow="1" w:lastRow="0" w:firstColumn="1" w:lastColumn="0" w:noHBand="0" w:noVBand="1"/>
      </w:tblPr>
      <w:tblGrid>
        <w:gridCol w:w="1276"/>
        <w:gridCol w:w="2846"/>
        <w:gridCol w:w="1690"/>
        <w:gridCol w:w="1559"/>
        <w:gridCol w:w="1985"/>
      </w:tblGrid>
      <w:tr w:rsidR="006C0C8F" w:rsidRPr="00F20D37" w14:paraId="7B590290" w14:textId="77777777" w:rsidTr="00AF329D">
        <w:trPr>
          <w:cnfStyle w:val="100000000000" w:firstRow="1" w:lastRow="0" w:firstColumn="0" w:lastColumn="0" w:oddVBand="0" w:evenVBand="0" w:oddHBand="0" w:evenHBand="0" w:firstRowFirstColumn="0" w:firstRowLastColumn="0" w:lastRowFirstColumn="0" w:lastRowLastColumn="0"/>
        </w:trPr>
        <w:tc>
          <w:tcPr>
            <w:tcW w:w="1276" w:type="dxa"/>
            <w:tcBorders>
              <w:bottom w:val="single" w:sz="4" w:space="0" w:color="00B0F0"/>
            </w:tcBorders>
            <w:shd w:val="clear" w:color="auto" w:fill="00B0F0"/>
          </w:tcPr>
          <w:p w14:paraId="340A68AD" w14:textId="77777777" w:rsidR="00D92CFA" w:rsidRPr="00F20D37" w:rsidRDefault="00D92CFA" w:rsidP="006C0C8F">
            <w:pPr>
              <w:pStyle w:val="Tablehead"/>
              <w:jc w:val="both"/>
              <w:rPr>
                <w:rFonts w:cs="Arial"/>
                <w:color w:val="auto"/>
              </w:rPr>
            </w:pPr>
            <w:r w:rsidRPr="00F20D37">
              <w:rPr>
                <w:rFonts w:cs="Arial"/>
                <w:color w:val="auto"/>
              </w:rPr>
              <w:t>Criterion</w:t>
            </w:r>
          </w:p>
        </w:tc>
        <w:tc>
          <w:tcPr>
            <w:tcW w:w="2846" w:type="dxa"/>
            <w:tcBorders>
              <w:bottom w:val="single" w:sz="4" w:space="0" w:color="00B0F0"/>
            </w:tcBorders>
            <w:shd w:val="clear" w:color="auto" w:fill="00B0F0"/>
          </w:tcPr>
          <w:p w14:paraId="0E5E8972" w14:textId="77777777" w:rsidR="00D92CFA" w:rsidRPr="00F20D37" w:rsidRDefault="00D92CFA" w:rsidP="006C0C8F">
            <w:pPr>
              <w:pStyle w:val="Tablehead"/>
              <w:jc w:val="both"/>
              <w:rPr>
                <w:rFonts w:cs="Arial"/>
                <w:color w:val="auto"/>
              </w:rPr>
            </w:pPr>
            <w:r w:rsidRPr="00F20D37">
              <w:rPr>
                <w:rFonts w:cs="Arial"/>
                <w:color w:val="auto"/>
              </w:rPr>
              <w:t>Considerations</w:t>
            </w:r>
          </w:p>
          <w:p w14:paraId="5BCB90A9" w14:textId="77777777" w:rsidR="00D92CFA" w:rsidRPr="00F20D37" w:rsidRDefault="00D92CFA" w:rsidP="006C0C8F">
            <w:pPr>
              <w:pStyle w:val="Tablehead"/>
              <w:jc w:val="both"/>
              <w:rPr>
                <w:rFonts w:cs="Arial"/>
                <w:color w:val="auto"/>
              </w:rPr>
            </w:pPr>
          </w:p>
        </w:tc>
        <w:tc>
          <w:tcPr>
            <w:tcW w:w="1690" w:type="dxa"/>
            <w:tcBorders>
              <w:bottom w:val="single" w:sz="4" w:space="0" w:color="00B0F0"/>
            </w:tcBorders>
            <w:shd w:val="clear" w:color="auto" w:fill="00B0F0"/>
          </w:tcPr>
          <w:p w14:paraId="2B7990B7" w14:textId="77777777" w:rsidR="00D92CFA" w:rsidRPr="00F20D37" w:rsidRDefault="00D92CFA" w:rsidP="006C0C8F">
            <w:pPr>
              <w:pStyle w:val="Tablehead"/>
              <w:jc w:val="both"/>
              <w:rPr>
                <w:rFonts w:cs="Arial"/>
                <w:color w:val="auto"/>
              </w:rPr>
            </w:pPr>
            <w:r w:rsidRPr="00F20D37">
              <w:rPr>
                <w:rFonts w:cs="Arial"/>
                <w:color w:val="auto"/>
              </w:rPr>
              <w:t>Farm scale single turbine</w:t>
            </w:r>
          </w:p>
        </w:tc>
        <w:tc>
          <w:tcPr>
            <w:tcW w:w="1559" w:type="dxa"/>
            <w:tcBorders>
              <w:bottom w:val="single" w:sz="4" w:space="0" w:color="00B0F0"/>
            </w:tcBorders>
            <w:shd w:val="clear" w:color="auto" w:fill="00B0F0"/>
          </w:tcPr>
          <w:p w14:paraId="71B196D7" w14:textId="77777777" w:rsidR="00D92CFA" w:rsidRPr="00F20D37" w:rsidRDefault="00D92CFA" w:rsidP="006C0C8F">
            <w:pPr>
              <w:pStyle w:val="Tablehead"/>
              <w:jc w:val="both"/>
              <w:rPr>
                <w:rFonts w:cs="Arial"/>
                <w:color w:val="auto"/>
              </w:rPr>
            </w:pPr>
            <w:r w:rsidRPr="00F20D37">
              <w:rPr>
                <w:rFonts w:cs="Arial"/>
                <w:color w:val="auto"/>
              </w:rPr>
              <w:t>Commercial wind farm</w:t>
            </w:r>
          </w:p>
        </w:tc>
        <w:tc>
          <w:tcPr>
            <w:tcW w:w="1985" w:type="dxa"/>
            <w:tcBorders>
              <w:bottom w:val="single" w:sz="4" w:space="0" w:color="00B0F0"/>
            </w:tcBorders>
            <w:shd w:val="clear" w:color="auto" w:fill="00B0F0"/>
          </w:tcPr>
          <w:p w14:paraId="44F4B88E" w14:textId="77777777" w:rsidR="00D92CFA" w:rsidRPr="00F20D37" w:rsidRDefault="00D92CFA" w:rsidP="006C0C8F">
            <w:pPr>
              <w:pStyle w:val="Tablehead"/>
              <w:jc w:val="both"/>
              <w:rPr>
                <w:rFonts w:cs="Arial"/>
                <w:color w:val="auto"/>
              </w:rPr>
            </w:pPr>
            <w:r w:rsidRPr="00F20D37">
              <w:rPr>
                <w:rFonts w:cs="Arial"/>
                <w:color w:val="auto"/>
              </w:rPr>
              <w:t>Height sensitivity</w:t>
            </w:r>
          </w:p>
        </w:tc>
      </w:tr>
      <w:tr w:rsidR="006C0C8F" w:rsidRPr="00F20D37" w14:paraId="5E2DAEF7" w14:textId="77777777" w:rsidTr="00AF329D">
        <w:tc>
          <w:tcPr>
            <w:tcW w:w="1276" w:type="dxa"/>
            <w:tcBorders>
              <w:top w:val="single" w:sz="4" w:space="0" w:color="00B0F0"/>
              <w:bottom w:val="single" w:sz="4" w:space="0" w:color="00B0F0"/>
              <w:right w:val="single" w:sz="4" w:space="0" w:color="00B0F0"/>
            </w:tcBorders>
          </w:tcPr>
          <w:p w14:paraId="20C44C7E"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1 xxx</w:t>
            </w:r>
          </w:p>
        </w:tc>
        <w:tc>
          <w:tcPr>
            <w:tcW w:w="2846" w:type="dxa"/>
            <w:tcBorders>
              <w:top w:val="single" w:sz="4" w:space="0" w:color="00B0F0"/>
              <w:left w:val="single" w:sz="4" w:space="0" w:color="00B0F0"/>
              <w:bottom w:val="single" w:sz="4" w:space="0" w:color="00B0F0"/>
              <w:right w:val="single" w:sz="4" w:space="0" w:color="00B0F0"/>
            </w:tcBorders>
          </w:tcPr>
          <w:p w14:paraId="25B7531E"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A description of susceptibilities relevant to the character area</w:t>
            </w:r>
          </w:p>
          <w:p w14:paraId="04FC7B78" w14:textId="77777777" w:rsidR="00D92CFA" w:rsidRPr="00F20D37" w:rsidRDefault="00D92CFA" w:rsidP="00F20D37">
            <w:pPr>
              <w:pStyle w:val="Tablebody"/>
              <w:spacing w:after="240"/>
              <w:jc w:val="both"/>
              <w:rPr>
                <w:rFonts w:ascii="Arial" w:hAnsi="Arial" w:cs="Arial"/>
                <w:color w:val="auto"/>
              </w:rPr>
            </w:pPr>
          </w:p>
        </w:tc>
        <w:tc>
          <w:tcPr>
            <w:tcW w:w="1690" w:type="dxa"/>
            <w:tcBorders>
              <w:top w:val="single" w:sz="4" w:space="0" w:color="00B0F0"/>
              <w:left w:val="single" w:sz="4" w:space="0" w:color="00B0F0"/>
              <w:bottom w:val="single" w:sz="4" w:space="0" w:color="00B0F0"/>
              <w:right w:val="single" w:sz="4" w:space="0" w:color="00B0F0"/>
            </w:tcBorders>
          </w:tcPr>
          <w:p w14:paraId="65196EB4"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559" w:type="dxa"/>
            <w:tcBorders>
              <w:top w:val="single" w:sz="4" w:space="0" w:color="00B0F0"/>
              <w:left w:val="single" w:sz="4" w:space="0" w:color="00B0F0"/>
              <w:bottom w:val="single" w:sz="4" w:space="0" w:color="00B0F0"/>
              <w:right w:val="single" w:sz="4" w:space="0" w:color="00B0F0"/>
            </w:tcBorders>
          </w:tcPr>
          <w:p w14:paraId="1BB8CD81"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985" w:type="dxa"/>
            <w:tcBorders>
              <w:top w:val="single" w:sz="4" w:space="0" w:color="00B0F0"/>
              <w:left w:val="single" w:sz="4" w:space="0" w:color="00B0F0"/>
              <w:bottom w:val="single" w:sz="4" w:space="0" w:color="00B0F0"/>
            </w:tcBorders>
          </w:tcPr>
          <w:p w14:paraId="1BB086BD"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This criterion is not affected by turbine height.</w:t>
            </w:r>
          </w:p>
        </w:tc>
      </w:tr>
      <w:tr w:rsidR="006C0C8F" w:rsidRPr="00F20D37" w14:paraId="1F900588" w14:textId="77777777" w:rsidTr="00AF329D">
        <w:tc>
          <w:tcPr>
            <w:tcW w:w="1276" w:type="dxa"/>
            <w:tcBorders>
              <w:top w:val="single" w:sz="4" w:space="0" w:color="00B0F0"/>
              <w:bottom w:val="single" w:sz="4" w:space="0" w:color="00B0F0"/>
              <w:right w:val="single" w:sz="4" w:space="0" w:color="00B0F0"/>
            </w:tcBorders>
          </w:tcPr>
          <w:p w14:paraId="199E1D50"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 xml:space="preserve">2 </w:t>
            </w:r>
            <w:proofErr w:type="spellStart"/>
            <w:r w:rsidRPr="00F20D37">
              <w:rPr>
                <w:rFonts w:ascii="Arial" w:hAnsi="Arial" w:cs="Arial"/>
                <w:color w:val="auto"/>
              </w:rPr>
              <w:t>yyy</w:t>
            </w:r>
            <w:proofErr w:type="spellEnd"/>
          </w:p>
        </w:tc>
        <w:tc>
          <w:tcPr>
            <w:tcW w:w="2846" w:type="dxa"/>
            <w:tcBorders>
              <w:top w:val="single" w:sz="4" w:space="0" w:color="00B0F0"/>
              <w:left w:val="single" w:sz="4" w:space="0" w:color="00B0F0"/>
              <w:bottom w:val="single" w:sz="4" w:space="0" w:color="00B0F0"/>
              <w:right w:val="single" w:sz="4" w:space="0" w:color="00B0F0"/>
            </w:tcBorders>
          </w:tcPr>
          <w:p w14:paraId="61D748E6"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A description of susceptibilities relevant to the character area</w:t>
            </w:r>
          </w:p>
          <w:p w14:paraId="1B147A4C" w14:textId="77777777" w:rsidR="00D92CFA" w:rsidRPr="00F20D37" w:rsidRDefault="00D92CFA" w:rsidP="00F20D37">
            <w:pPr>
              <w:pStyle w:val="Tablebody"/>
              <w:spacing w:after="240"/>
              <w:jc w:val="both"/>
              <w:rPr>
                <w:rFonts w:ascii="Arial" w:hAnsi="Arial" w:cs="Arial"/>
                <w:color w:val="auto"/>
              </w:rPr>
            </w:pPr>
          </w:p>
        </w:tc>
        <w:tc>
          <w:tcPr>
            <w:tcW w:w="1690" w:type="dxa"/>
            <w:tcBorders>
              <w:top w:val="single" w:sz="4" w:space="0" w:color="00B0F0"/>
              <w:left w:val="single" w:sz="4" w:space="0" w:color="00B0F0"/>
              <w:bottom w:val="single" w:sz="4" w:space="0" w:color="00B0F0"/>
              <w:right w:val="single" w:sz="4" w:space="0" w:color="00B0F0"/>
            </w:tcBorders>
          </w:tcPr>
          <w:p w14:paraId="7BA467CF"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559" w:type="dxa"/>
            <w:tcBorders>
              <w:top w:val="single" w:sz="4" w:space="0" w:color="00B0F0"/>
              <w:left w:val="single" w:sz="4" w:space="0" w:color="00B0F0"/>
              <w:bottom w:val="single" w:sz="4" w:space="0" w:color="00B0F0"/>
              <w:right w:val="single" w:sz="4" w:space="0" w:color="00B0F0"/>
            </w:tcBorders>
          </w:tcPr>
          <w:p w14:paraId="6D2F64DC"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Description and susceptibility rating</w:t>
            </w:r>
          </w:p>
        </w:tc>
        <w:tc>
          <w:tcPr>
            <w:tcW w:w="1985" w:type="dxa"/>
            <w:tcBorders>
              <w:top w:val="single" w:sz="4" w:space="0" w:color="00B0F0"/>
              <w:left w:val="single" w:sz="4" w:space="0" w:color="00B0F0"/>
              <w:bottom w:val="single" w:sz="4" w:space="0" w:color="00B0F0"/>
            </w:tcBorders>
          </w:tcPr>
          <w:p w14:paraId="4E3D4515"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 xml:space="preserve">Taller turbines may cause increased effects on this criterion if … </w:t>
            </w:r>
          </w:p>
        </w:tc>
      </w:tr>
      <w:tr w:rsidR="006C0C8F" w:rsidRPr="00F20D37" w14:paraId="4E14DD9E" w14:textId="77777777" w:rsidTr="00AF329D">
        <w:tc>
          <w:tcPr>
            <w:tcW w:w="1276" w:type="dxa"/>
            <w:tcBorders>
              <w:top w:val="single" w:sz="4" w:space="0" w:color="00B0F0"/>
              <w:bottom w:val="single" w:sz="4" w:space="0" w:color="00B0F0"/>
              <w:right w:val="single" w:sz="4" w:space="0" w:color="00B0F0"/>
            </w:tcBorders>
          </w:tcPr>
          <w:p w14:paraId="7330F025" w14:textId="77777777" w:rsidR="00D92CFA" w:rsidRPr="00F20D37" w:rsidRDefault="00D92CFA" w:rsidP="00F20D37">
            <w:pPr>
              <w:pStyle w:val="Tablebody"/>
              <w:spacing w:after="240"/>
              <w:jc w:val="both"/>
              <w:rPr>
                <w:rFonts w:ascii="Arial" w:hAnsi="Arial" w:cs="Arial"/>
                <w:color w:val="auto"/>
              </w:rPr>
            </w:pPr>
            <w:proofErr w:type="spellStart"/>
            <w:r w:rsidRPr="00F20D37">
              <w:rPr>
                <w:rFonts w:ascii="Arial" w:hAnsi="Arial" w:cs="Arial"/>
                <w:color w:val="auto"/>
              </w:rPr>
              <w:t>etc</w:t>
            </w:r>
            <w:proofErr w:type="spellEnd"/>
          </w:p>
        </w:tc>
        <w:tc>
          <w:tcPr>
            <w:tcW w:w="2846" w:type="dxa"/>
            <w:tcBorders>
              <w:top w:val="single" w:sz="4" w:space="0" w:color="00B0F0"/>
              <w:left w:val="single" w:sz="4" w:space="0" w:color="00B0F0"/>
              <w:bottom w:val="single" w:sz="4" w:space="0" w:color="00B0F0"/>
              <w:right w:val="single" w:sz="4" w:space="0" w:color="00B0F0"/>
            </w:tcBorders>
          </w:tcPr>
          <w:p w14:paraId="3779AF0E" w14:textId="77777777" w:rsidR="00D92CFA" w:rsidRPr="00F20D37" w:rsidRDefault="00D92CFA" w:rsidP="00F20D37">
            <w:pPr>
              <w:pStyle w:val="Tablebody"/>
              <w:spacing w:after="240"/>
              <w:jc w:val="both"/>
              <w:rPr>
                <w:rFonts w:ascii="Arial" w:hAnsi="Arial" w:cs="Arial"/>
                <w:color w:val="auto"/>
              </w:rPr>
            </w:pPr>
          </w:p>
        </w:tc>
        <w:tc>
          <w:tcPr>
            <w:tcW w:w="1690" w:type="dxa"/>
            <w:tcBorders>
              <w:top w:val="single" w:sz="4" w:space="0" w:color="00B0F0"/>
              <w:left w:val="single" w:sz="4" w:space="0" w:color="00B0F0"/>
              <w:bottom w:val="single" w:sz="4" w:space="0" w:color="00B0F0"/>
              <w:right w:val="single" w:sz="4" w:space="0" w:color="00B0F0"/>
            </w:tcBorders>
          </w:tcPr>
          <w:p w14:paraId="523D906A" w14:textId="77777777" w:rsidR="00D92CFA" w:rsidRPr="00F20D37" w:rsidRDefault="00D92CFA" w:rsidP="00F20D37">
            <w:pPr>
              <w:pStyle w:val="Tablebody"/>
              <w:spacing w:after="240"/>
              <w:jc w:val="both"/>
              <w:rPr>
                <w:rFonts w:ascii="Arial" w:hAnsi="Arial" w:cs="Arial"/>
                <w:color w:val="auto"/>
              </w:rPr>
            </w:pPr>
          </w:p>
        </w:tc>
        <w:tc>
          <w:tcPr>
            <w:tcW w:w="1559" w:type="dxa"/>
            <w:tcBorders>
              <w:top w:val="single" w:sz="4" w:space="0" w:color="00B0F0"/>
              <w:left w:val="single" w:sz="4" w:space="0" w:color="00B0F0"/>
              <w:bottom w:val="single" w:sz="4" w:space="0" w:color="00B0F0"/>
              <w:right w:val="single" w:sz="4" w:space="0" w:color="00B0F0"/>
            </w:tcBorders>
          </w:tcPr>
          <w:p w14:paraId="1EDA14AB" w14:textId="77777777" w:rsidR="00D92CFA" w:rsidRPr="00F20D37" w:rsidRDefault="00D92CFA" w:rsidP="00F20D37">
            <w:pPr>
              <w:pStyle w:val="Tablebody"/>
              <w:spacing w:after="240"/>
              <w:jc w:val="both"/>
              <w:rPr>
                <w:rFonts w:ascii="Arial" w:hAnsi="Arial" w:cs="Arial"/>
                <w:color w:val="auto"/>
              </w:rPr>
            </w:pPr>
          </w:p>
        </w:tc>
        <w:tc>
          <w:tcPr>
            <w:tcW w:w="1985" w:type="dxa"/>
            <w:tcBorders>
              <w:top w:val="single" w:sz="4" w:space="0" w:color="00B0F0"/>
              <w:left w:val="single" w:sz="4" w:space="0" w:color="00B0F0"/>
              <w:bottom w:val="single" w:sz="4" w:space="0" w:color="00B0F0"/>
            </w:tcBorders>
          </w:tcPr>
          <w:p w14:paraId="2F5795A6" w14:textId="77777777" w:rsidR="00D92CFA" w:rsidRPr="00F20D37" w:rsidRDefault="00D92CFA" w:rsidP="00F20D37">
            <w:pPr>
              <w:pStyle w:val="Tablebody"/>
              <w:spacing w:after="240"/>
              <w:jc w:val="both"/>
              <w:rPr>
                <w:rFonts w:ascii="Arial" w:hAnsi="Arial" w:cs="Arial"/>
                <w:color w:val="auto"/>
              </w:rPr>
            </w:pPr>
          </w:p>
        </w:tc>
      </w:tr>
      <w:tr w:rsidR="006C0C8F" w:rsidRPr="00F20D37" w14:paraId="60198DB7" w14:textId="77777777" w:rsidTr="00AF329D">
        <w:tc>
          <w:tcPr>
            <w:tcW w:w="1276" w:type="dxa"/>
            <w:tcBorders>
              <w:top w:val="single" w:sz="4" w:space="0" w:color="00B0F0"/>
              <w:bottom w:val="nil"/>
              <w:right w:val="single" w:sz="4" w:space="0" w:color="00B0F0"/>
            </w:tcBorders>
          </w:tcPr>
          <w:p w14:paraId="1186C7D9"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Overall rating</w:t>
            </w:r>
          </w:p>
        </w:tc>
        <w:tc>
          <w:tcPr>
            <w:tcW w:w="2846" w:type="dxa"/>
            <w:tcBorders>
              <w:top w:val="single" w:sz="4" w:space="0" w:color="00B0F0"/>
              <w:left w:val="single" w:sz="4" w:space="0" w:color="00B0F0"/>
              <w:bottom w:val="nil"/>
              <w:right w:val="single" w:sz="4" w:space="0" w:color="00B0F0"/>
            </w:tcBorders>
          </w:tcPr>
          <w:p w14:paraId="7AAD9450" w14:textId="77777777" w:rsidR="00D92CFA" w:rsidRPr="00F20D37" w:rsidRDefault="00D92CFA" w:rsidP="00F20D37">
            <w:pPr>
              <w:pStyle w:val="Tablebody"/>
              <w:spacing w:after="240"/>
              <w:jc w:val="both"/>
              <w:rPr>
                <w:rFonts w:ascii="Arial" w:hAnsi="Arial" w:cs="Arial"/>
                <w:color w:val="auto"/>
              </w:rPr>
            </w:pPr>
          </w:p>
        </w:tc>
        <w:tc>
          <w:tcPr>
            <w:tcW w:w="1690" w:type="dxa"/>
            <w:tcBorders>
              <w:top w:val="single" w:sz="4" w:space="0" w:color="00B0F0"/>
              <w:left w:val="single" w:sz="4" w:space="0" w:color="00B0F0"/>
              <w:bottom w:val="nil"/>
              <w:right w:val="single" w:sz="4" w:space="0" w:color="00B0F0"/>
            </w:tcBorders>
          </w:tcPr>
          <w:p w14:paraId="701FC203"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 xml:space="preserve">Sensitivity rating </w:t>
            </w:r>
          </w:p>
        </w:tc>
        <w:tc>
          <w:tcPr>
            <w:tcW w:w="1559" w:type="dxa"/>
            <w:tcBorders>
              <w:top w:val="single" w:sz="4" w:space="0" w:color="00B0F0"/>
              <w:left w:val="single" w:sz="4" w:space="0" w:color="00B0F0"/>
              <w:bottom w:val="nil"/>
              <w:right w:val="single" w:sz="4" w:space="0" w:color="00B0F0"/>
            </w:tcBorders>
          </w:tcPr>
          <w:p w14:paraId="0D62DE29" w14:textId="77777777" w:rsidR="00D92CFA" w:rsidRPr="00F20D37" w:rsidRDefault="00D92CFA" w:rsidP="00F20D37">
            <w:pPr>
              <w:pStyle w:val="Tablebody"/>
              <w:spacing w:after="240"/>
              <w:jc w:val="both"/>
              <w:rPr>
                <w:rFonts w:ascii="Arial" w:hAnsi="Arial" w:cs="Arial"/>
                <w:color w:val="auto"/>
              </w:rPr>
            </w:pPr>
            <w:r w:rsidRPr="00F20D37">
              <w:rPr>
                <w:rFonts w:ascii="Arial" w:hAnsi="Arial" w:cs="Arial"/>
                <w:color w:val="auto"/>
              </w:rPr>
              <w:t>Sensitivity rating</w:t>
            </w:r>
          </w:p>
        </w:tc>
        <w:tc>
          <w:tcPr>
            <w:tcW w:w="1985" w:type="dxa"/>
            <w:tcBorders>
              <w:top w:val="single" w:sz="4" w:space="0" w:color="00B0F0"/>
              <w:left w:val="single" w:sz="4" w:space="0" w:color="00B0F0"/>
              <w:bottom w:val="nil"/>
            </w:tcBorders>
          </w:tcPr>
          <w:p w14:paraId="24F1821E" w14:textId="77777777" w:rsidR="00D92CFA" w:rsidRPr="00F20D37" w:rsidRDefault="00D92CFA" w:rsidP="00F20D37">
            <w:pPr>
              <w:pStyle w:val="Tablebody"/>
              <w:spacing w:after="240"/>
              <w:jc w:val="both"/>
              <w:rPr>
                <w:rFonts w:ascii="Arial" w:hAnsi="Arial" w:cs="Arial"/>
                <w:color w:val="auto"/>
              </w:rPr>
            </w:pPr>
          </w:p>
        </w:tc>
      </w:tr>
    </w:tbl>
    <w:p w14:paraId="584F9E18" w14:textId="77777777" w:rsidR="00D92CFA" w:rsidRPr="006C0C8F" w:rsidRDefault="00D92CFA" w:rsidP="006C0C8F">
      <w:pPr>
        <w:jc w:val="both"/>
      </w:pPr>
    </w:p>
    <w:p w14:paraId="2E36F304" w14:textId="5ABCD1C6" w:rsidR="001B53D5" w:rsidRPr="006C0C8F" w:rsidRDefault="001B53D5" w:rsidP="006C0C8F">
      <w:pPr>
        <w:jc w:val="both"/>
      </w:pPr>
      <w:r w:rsidRPr="006C0C8F">
        <w:t xml:space="preserve">This avoids overly granular assessments and </w:t>
      </w:r>
      <w:r w:rsidR="003B7737" w:rsidRPr="006C0C8F">
        <w:t>encourages description of</w:t>
      </w:r>
      <w:r w:rsidRPr="006C0C8F">
        <w:t xml:space="preserve"> the circumstances under which sensitivity may increase due to larger scale developments (for instance if it becomes widely visible from an adjacent designat</w:t>
      </w:r>
      <w:r w:rsidR="003B7737" w:rsidRPr="006C0C8F">
        <w:t>ion</w:t>
      </w:r>
      <w:r w:rsidRPr="006C0C8F">
        <w:t>). Larger development proposals than those envisaged as a ‘commercial wind farm’ at the time of assessment can then be considered against the descriptions in relation to height sensitivity. This approach could be applied to other forms of development, although for housing or solar farms the scaling is more likely to relate to site area or numbers of dwellings than height.</w:t>
      </w:r>
    </w:p>
    <w:p w14:paraId="0D15B13B" w14:textId="77777777" w:rsidR="001B53D5" w:rsidRPr="006C0C8F" w:rsidRDefault="001B53D5" w:rsidP="006C0C8F">
      <w:pPr>
        <w:pStyle w:val="Heading4"/>
      </w:pPr>
      <w:r w:rsidRPr="006C0C8F">
        <w:t>Approach to visual criteria</w:t>
      </w:r>
    </w:p>
    <w:p w14:paraId="143CD092" w14:textId="77777777" w:rsidR="001B53D5" w:rsidRPr="006C0C8F" w:rsidRDefault="001B53D5" w:rsidP="006C0C8F">
      <w:pPr>
        <w:jc w:val="both"/>
      </w:pPr>
      <w:bookmarkStart w:id="8" w:name="_Hlk48754072"/>
      <w:r w:rsidRPr="006C0C8F">
        <w:lastRenderedPageBreak/>
        <w:t xml:space="preserve">Visual criteria are more valuable for considering capacity than they are for landscape sensitivity, but the guidance does not appear to recognise this point. This is important as sensitivity studies which make excessive or inappropriate use of visual criteria form a less sound basis for LVIA of development proposals because LVIA is required to consider visual sensitivity and effects separately from effects on landscape character.  </w:t>
      </w:r>
    </w:p>
    <w:p w14:paraId="7C1A23FD" w14:textId="77777777" w:rsidR="001B53D5" w:rsidRPr="006C0C8F" w:rsidRDefault="001B53D5" w:rsidP="006C0C8F">
      <w:pPr>
        <w:jc w:val="both"/>
      </w:pPr>
      <w:r w:rsidRPr="006C0C8F">
        <w:t>For example, if a sensitivity study incudes visibility from a settlement as a visual susceptibility criterion (as appears to be suggested at para. 2.2.8), an LVIA would tend to omit that criterion when considering sensitivity of the character area as it is does not relate to potential effects on landscape character, but to potential effects on visual receptors. This may mean that an LVIA appears to ‘disagree’ with the sensitivity assessment when it does not and is simply using the information as required for the task in hand.</w:t>
      </w:r>
    </w:p>
    <w:p w14:paraId="11E38E89" w14:textId="77777777" w:rsidR="001B53D5" w:rsidRPr="006C0C8F" w:rsidRDefault="001B53D5" w:rsidP="006C0C8F">
      <w:pPr>
        <w:jc w:val="both"/>
      </w:pPr>
      <w:r w:rsidRPr="006C0C8F">
        <w:t xml:space="preserve">Where they are used, visual criteria in a sensitivity study should relate to character, such as highlighting that views out to the sea are an important element of the character. Identifying important views and visual receptors is also helpful in guiding development and change but is best kept as a separate element of the study and not mixed with character criteria in reaching evaluations for sensitivity. </w:t>
      </w:r>
    </w:p>
    <w:bookmarkEnd w:id="8"/>
    <w:p w14:paraId="61DFC75A" w14:textId="0C2F4D24" w:rsidR="001B53D5" w:rsidRPr="006C0C8F" w:rsidRDefault="001B53D5" w:rsidP="006C0C8F">
      <w:pPr>
        <w:pStyle w:val="Heading3"/>
        <w:jc w:val="both"/>
      </w:pPr>
      <w:r w:rsidRPr="006C0C8F">
        <w:t>Wording</w:t>
      </w:r>
    </w:p>
    <w:p w14:paraId="60EFC0A1" w14:textId="77777777" w:rsidR="001B53D5" w:rsidRPr="006C0C8F" w:rsidRDefault="001B53D5" w:rsidP="006C0C8F">
      <w:pPr>
        <w:jc w:val="both"/>
      </w:pPr>
      <w:r w:rsidRPr="006C0C8F">
        <w:t>In addition to the sections of the text discussed above, Table 2.1 below sets out instances of wording which should be rephrased to better focus on sensitivity rather than capacity:</w:t>
      </w:r>
    </w:p>
    <w:p w14:paraId="7EF53833" w14:textId="77777777" w:rsidR="00D92CFA" w:rsidRPr="006C0C8F" w:rsidRDefault="00D92CFA" w:rsidP="006C0C8F">
      <w:pPr>
        <w:pStyle w:val="Caption"/>
        <w:ind w:left="0"/>
        <w:rPr>
          <w:rFonts w:ascii="Arial" w:hAnsi="Arial" w:cs="Arial"/>
          <w:b/>
          <w:bCs/>
          <w:color w:val="auto"/>
        </w:rPr>
      </w:pPr>
      <w:r w:rsidRPr="006C0C8F">
        <w:rPr>
          <w:rFonts w:ascii="Arial" w:hAnsi="Arial" w:cs="Arial"/>
          <w:b/>
          <w:bCs/>
          <w:color w:val="auto"/>
        </w:rPr>
        <w:t>Table 2.1 Suggested rewording to better focus on sensitivity</w:t>
      </w:r>
    </w:p>
    <w:tbl>
      <w:tblPr>
        <w:tblStyle w:val="SH1"/>
        <w:tblW w:w="9639" w:type="dxa"/>
        <w:tblLook w:val="04A0" w:firstRow="1" w:lastRow="0" w:firstColumn="1" w:lastColumn="0" w:noHBand="0" w:noVBand="1"/>
      </w:tblPr>
      <w:tblGrid>
        <w:gridCol w:w="709"/>
        <w:gridCol w:w="3544"/>
        <w:gridCol w:w="2551"/>
        <w:gridCol w:w="2835"/>
      </w:tblGrid>
      <w:tr w:rsidR="006C0C8F" w:rsidRPr="006C0C8F" w14:paraId="569807A8" w14:textId="77777777" w:rsidTr="00D92CFA">
        <w:trPr>
          <w:cnfStyle w:val="100000000000" w:firstRow="1" w:lastRow="0" w:firstColumn="0" w:lastColumn="0" w:oddVBand="0" w:evenVBand="0" w:oddHBand="0" w:evenHBand="0" w:firstRowFirstColumn="0" w:firstRowLastColumn="0" w:lastRowFirstColumn="0" w:lastRowLastColumn="0"/>
          <w:tblHeader/>
        </w:trPr>
        <w:tc>
          <w:tcPr>
            <w:tcW w:w="709" w:type="dxa"/>
            <w:tcBorders>
              <w:bottom w:val="single" w:sz="4" w:space="0" w:color="00B0F0"/>
            </w:tcBorders>
            <w:shd w:val="clear" w:color="auto" w:fill="00B0F0"/>
          </w:tcPr>
          <w:p w14:paraId="2079F204" w14:textId="77777777" w:rsidR="00D92CFA" w:rsidRPr="006C0C8F" w:rsidRDefault="00D92CFA" w:rsidP="006C0C8F">
            <w:pPr>
              <w:pStyle w:val="Tablehead"/>
              <w:jc w:val="both"/>
              <w:rPr>
                <w:rFonts w:cs="Arial"/>
                <w:color w:val="auto"/>
              </w:rPr>
            </w:pPr>
            <w:r w:rsidRPr="006C0C8F">
              <w:rPr>
                <w:rFonts w:cs="Arial"/>
                <w:color w:val="auto"/>
              </w:rPr>
              <w:t>Para</w:t>
            </w:r>
          </w:p>
        </w:tc>
        <w:tc>
          <w:tcPr>
            <w:tcW w:w="3544" w:type="dxa"/>
            <w:tcBorders>
              <w:bottom w:val="single" w:sz="4" w:space="0" w:color="00B0F0"/>
            </w:tcBorders>
            <w:shd w:val="clear" w:color="auto" w:fill="00B0F0"/>
          </w:tcPr>
          <w:p w14:paraId="0146561A" w14:textId="77777777" w:rsidR="00D92CFA" w:rsidRPr="006C0C8F" w:rsidRDefault="00D92CFA" w:rsidP="006C0C8F">
            <w:pPr>
              <w:pStyle w:val="Tablehead"/>
              <w:jc w:val="both"/>
              <w:rPr>
                <w:rFonts w:cs="Arial"/>
                <w:color w:val="auto"/>
              </w:rPr>
            </w:pPr>
            <w:r w:rsidRPr="006C0C8F">
              <w:rPr>
                <w:rFonts w:cs="Arial"/>
                <w:color w:val="auto"/>
              </w:rPr>
              <w:t>Wording</w:t>
            </w:r>
          </w:p>
          <w:p w14:paraId="0261E456" w14:textId="77777777" w:rsidR="00D92CFA" w:rsidRPr="006C0C8F" w:rsidRDefault="00D92CFA" w:rsidP="006C0C8F">
            <w:pPr>
              <w:pStyle w:val="Tablehead"/>
              <w:jc w:val="both"/>
              <w:rPr>
                <w:rFonts w:cs="Arial"/>
                <w:color w:val="auto"/>
              </w:rPr>
            </w:pPr>
          </w:p>
        </w:tc>
        <w:tc>
          <w:tcPr>
            <w:tcW w:w="2551" w:type="dxa"/>
            <w:tcBorders>
              <w:bottom w:val="single" w:sz="4" w:space="0" w:color="00B0F0"/>
            </w:tcBorders>
            <w:shd w:val="clear" w:color="auto" w:fill="00B0F0"/>
          </w:tcPr>
          <w:p w14:paraId="00817643" w14:textId="77777777" w:rsidR="00D92CFA" w:rsidRPr="006C0C8F" w:rsidRDefault="00D92CFA" w:rsidP="006C0C8F">
            <w:pPr>
              <w:pStyle w:val="Tablehead"/>
              <w:jc w:val="both"/>
              <w:rPr>
                <w:rFonts w:cs="Arial"/>
                <w:color w:val="auto"/>
              </w:rPr>
            </w:pPr>
            <w:r w:rsidRPr="006C0C8F">
              <w:rPr>
                <w:rFonts w:cs="Arial"/>
                <w:color w:val="auto"/>
              </w:rPr>
              <w:t>Suggested</w:t>
            </w:r>
          </w:p>
        </w:tc>
        <w:tc>
          <w:tcPr>
            <w:tcW w:w="2835" w:type="dxa"/>
            <w:tcBorders>
              <w:bottom w:val="single" w:sz="4" w:space="0" w:color="00B0F0"/>
            </w:tcBorders>
            <w:shd w:val="clear" w:color="auto" w:fill="00B0F0"/>
          </w:tcPr>
          <w:p w14:paraId="01A29E1A" w14:textId="77777777" w:rsidR="00D92CFA" w:rsidRPr="006C0C8F" w:rsidRDefault="00D92CFA" w:rsidP="006C0C8F">
            <w:pPr>
              <w:pStyle w:val="Tablehead"/>
              <w:jc w:val="both"/>
              <w:rPr>
                <w:rFonts w:cs="Arial"/>
                <w:color w:val="auto"/>
              </w:rPr>
            </w:pPr>
            <w:r w:rsidRPr="006C0C8F">
              <w:rPr>
                <w:rFonts w:cs="Arial"/>
                <w:color w:val="auto"/>
              </w:rPr>
              <w:t>Rationale</w:t>
            </w:r>
          </w:p>
        </w:tc>
      </w:tr>
      <w:tr w:rsidR="006C0C8F" w:rsidRPr="006C0C8F" w14:paraId="0E5CEAAF" w14:textId="77777777" w:rsidTr="00D92CFA">
        <w:tc>
          <w:tcPr>
            <w:tcW w:w="709" w:type="dxa"/>
            <w:tcBorders>
              <w:top w:val="single" w:sz="4" w:space="0" w:color="00B0F0"/>
              <w:bottom w:val="single" w:sz="4" w:space="0" w:color="00B0F0"/>
              <w:right w:val="single" w:sz="4" w:space="0" w:color="00B0F0"/>
            </w:tcBorders>
          </w:tcPr>
          <w:p w14:paraId="216AA6D4" w14:textId="71D283D5" w:rsidR="001B53D5" w:rsidRPr="006C0C8F" w:rsidRDefault="001B53D5" w:rsidP="006C0C8F">
            <w:pPr>
              <w:pStyle w:val="Tablebody"/>
              <w:jc w:val="both"/>
              <w:rPr>
                <w:rFonts w:ascii="Arial" w:hAnsi="Arial" w:cs="Arial"/>
                <w:color w:val="auto"/>
              </w:rPr>
            </w:pPr>
            <w:r w:rsidRPr="006C0C8F">
              <w:rPr>
                <w:rFonts w:ascii="Arial" w:hAnsi="Arial" w:cs="Arial"/>
                <w:color w:val="auto"/>
              </w:rPr>
              <w:t>3</w:t>
            </w:r>
          </w:p>
        </w:tc>
        <w:tc>
          <w:tcPr>
            <w:tcW w:w="3544" w:type="dxa"/>
            <w:tcBorders>
              <w:top w:val="single" w:sz="4" w:space="0" w:color="00B0F0"/>
              <w:left w:val="single" w:sz="4" w:space="0" w:color="00B0F0"/>
              <w:bottom w:val="single" w:sz="4" w:space="0" w:color="00B0F0"/>
              <w:right w:val="single" w:sz="4" w:space="0" w:color="00B0F0"/>
            </w:tcBorders>
          </w:tcPr>
          <w:p w14:paraId="34186A4E" w14:textId="425B2E22" w:rsidR="001B53D5" w:rsidRPr="006C0C8F" w:rsidRDefault="001B53D5" w:rsidP="006C0C8F">
            <w:pPr>
              <w:pStyle w:val="Tablebody"/>
              <w:jc w:val="both"/>
              <w:rPr>
                <w:rFonts w:ascii="Arial" w:hAnsi="Arial" w:cs="Arial"/>
                <w:color w:val="auto"/>
              </w:rPr>
            </w:pPr>
            <w:r w:rsidRPr="006C0C8F">
              <w:rPr>
                <w:rFonts w:ascii="Arial" w:hAnsi="Arial" w:cs="Arial"/>
                <w:color w:val="auto"/>
              </w:rPr>
              <w:t>“Our landscapes continue to change in response to natural processes and human interventions. Decisions made about introducing built development and land management play a big part in what this change looks like.”</w:t>
            </w:r>
          </w:p>
          <w:p w14:paraId="3F05AC16" w14:textId="57A7AABF" w:rsidR="001B53D5" w:rsidRPr="006C0C8F" w:rsidRDefault="001B53D5" w:rsidP="006C0C8F">
            <w:pPr>
              <w:pStyle w:val="Tablebody"/>
              <w:jc w:val="both"/>
              <w:rPr>
                <w:rFonts w:ascii="Arial" w:hAnsi="Arial" w:cs="Arial"/>
                <w:color w:val="auto"/>
              </w:rPr>
            </w:pPr>
          </w:p>
          <w:p w14:paraId="564E4AA9" w14:textId="77777777" w:rsidR="001B53D5" w:rsidRPr="006C0C8F" w:rsidRDefault="001B53D5" w:rsidP="006C0C8F">
            <w:pPr>
              <w:pStyle w:val="Tablebody"/>
              <w:jc w:val="both"/>
              <w:rPr>
                <w:rFonts w:ascii="Arial" w:hAnsi="Arial" w:cs="Arial"/>
                <w:color w:val="auto"/>
              </w:rPr>
            </w:pPr>
          </w:p>
          <w:p w14:paraId="6B21B640" w14:textId="77777777" w:rsidR="001B53D5" w:rsidRPr="006C0C8F" w:rsidRDefault="001B53D5" w:rsidP="006C0C8F">
            <w:pPr>
              <w:pStyle w:val="Tablebody"/>
              <w:jc w:val="both"/>
              <w:rPr>
                <w:rFonts w:ascii="Arial" w:hAnsi="Arial" w:cs="Arial"/>
                <w:color w:val="auto"/>
              </w:rPr>
            </w:pPr>
          </w:p>
        </w:tc>
        <w:tc>
          <w:tcPr>
            <w:tcW w:w="2551" w:type="dxa"/>
            <w:tcBorders>
              <w:top w:val="single" w:sz="4" w:space="0" w:color="00B0F0"/>
              <w:left w:val="single" w:sz="4" w:space="0" w:color="00B0F0"/>
              <w:bottom w:val="single" w:sz="4" w:space="0" w:color="00B0F0"/>
              <w:right w:val="single" w:sz="4" w:space="0" w:color="00B0F0"/>
            </w:tcBorders>
          </w:tcPr>
          <w:p w14:paraId="0759934A" w14:textId="1A8AF029" w:rsidR="001B53D5" w:rsidRPr="006C0C8F" w:rsidRDefault="001B53D5" w:rsidP="006C0C8F">
            <w:pPr>
              <w:pStyle w:val="Tablebody"/>
              <w:jc w:val="both"/>
              <w:rPr>
                <w:rFonts w:ascii="Arial" w:hAnsi="Arial" w:cs="Arial"/>
                <w:color w:val="auto"/>
              </w:rPr>
            </w:pPr>
            <w:r w:rsidRPr="006C0C8F">
              <w:rPr>
                <w:rFonts w:ascii="Arial" w:hAnsi="Arial" w:cs="Arial"/>
                <w:color w:val="auto"/>
              </w:rPr>
              <w:t>Our landscapes continue to change in response to natural processes and human interventions including built development and land management practices.</w:t>
            </w:r>
          </w:p>
        </w:tc>
        <w:tc>
          <w:tcPr>
            <w:tcW w:w="2835" w:type="dxa"/>
            <w:tcBorders>
              <w:top w:val="single" w:sz="4" w:space="0" w:color="00B0F0"/>
              <w:left w:val="single" w:sz="4" w:space="0" w:color="00B0F0"/>
              <w:bottom w:val="single" w:sz="4" w:space="0" w:color="00B0F0"/>
            </w:tcBorders>
          </w:tcPr>
          <w:p w14:paraId="12742FDD" w14:textId="39BC99FE" w:rsidR="001B53D5" w:rsidRPr="006C0C8F" w:rsidRDefault="001B53D5" w:rsidP="006C0C8F">
            <w:pPr>
              <w:pStyle w:val="Tablebody"/>
              <w:jc w:val="both"/>
              <w:rPr>
                <w:rFonts w:ascii="Arial" w:hAnsi="Arial" w:cs="Arial"/>
                <w:color w:val="auto"/>
              </w:rPr>
            </w:pPr>
            <w:r w:rsidRPr="006C0C8F">
              <w:rPr>
                <w:rFonts w:ascii="Arial" w:hAnsi="Arial" w:cs="Arial"/>
                <w:color w:val="auto"/>
              </w:rPr>
              <w:t>The second sentence is unnecessary and regards development as something ‘introduced’ rather than part of the human influence on landscape.</w:t>
            </w:r>
          </w:p>
        </w:tc>
      </w:tr>
      <w:tr w:rsidR="006C0C8F" w:rsidRPr="006C0C8F" w14:paraId="00F11518" w14:textId="77777777" w:rsidTr="00D92CFA">
        <w:tc>
          <w:tcPr>
            <w:tcW w:w="709" w:type="dxa"/>
            <w:tcBorders>
              <w:top w:val="single" w:sz="4" w:space="0" w:color="00B0F0"/>
              <w:bottom w:val="single" w:sz="4" w:space="0" w:color="00B0F0"/>
              <w:right w:val="single" w:sz="4" w:space="0" w:color="00B0F0"/>
            </w:tcBorders>
          </w:tcPr>
          <w:p w14:paraId="1DA3F44C" w14:textId="41DCE9A9" w:rsidR="001B53D5" w:rsidRPr="006C0C8F" w:rsidRDefault="001B53D5" w:rsidP="006C0C8F">
            <w:pPr>
              <w:pStyle w:val="Tablebody"/>
              <w:jc w:val="both"/>
              <w:rPr>
                <w:rFonts w:ascii="Arial" w:hAnsi="Arial" w:cs="Arial"/>
                <w:color w:val="auto"/>
              </w:rPr>
            </w:pPr>
            <w:r w:rsidRPr="006C0C8F">
              <w:rPr>
                <w:rFonts w:ascii="Arial" w:hAnsi="Arial" w:cs="Arial"/>
                <w:color w:val="auto"/>
              </w:rPr>
              <w:t>3</w:t>
            </w:r>
          </w:p>
        </w:tc>
        <w:tc>
          <w:tcPr>
            <w:tcW w:w="3544" w:type="dxa"/>
            <w:tcBorders>
              <w:top w:val="single" w:sz="4" w:space="0" w:color="00B0F0"/>
              <w:left w:val="single" w:sz="4" w:space="0" w:color="00B0F0"/>
              <w:bottom w:val="single" w:sz="4" w:space="0" w:color="00B0F0"/>
              <w:right w:val="single" w:sz="4" w:space="0" w:color="00B0F0"/>
            </w:tcBorders>
          </w:tcPr>
          <w:p w14:paraId="35DFCE58" w14:textId="45EC728F" w:rsidR="001B53D5" w:rsidRPr="006C0C8F" w:rsidRDefault="001B53D5" w:rsidP="006C0C8F">
            <w:pPr>
              <w:pStyle w:val="Tablebody"/>
              <w:jc w:val="both"/>
              <w:rPr>
                <w:rFonts w:ascii="Arial" w:hAnsi="Arial" w:cs="Arial"/>
                <w:color w:val="auto"/>
              </w:rPr>
            </w:pPr>
            <w:r w:rsidRPr="006C0C8F">
              <w:rPr>
                <w:rFonts w:ascii="Arial" w:hAnsi="Arial" w:cs="Arial"/>
                <w:color w:val="auto"/>
              </w:rPr>
              <w:t>“The scope for landscapes to accommodate new land uses and development without losing their character and qualities varies from place to place.”</w:t>
            </w:r>
          </w:p>
        </w:tc>
        <w:tc>
          <w:tcPr>
            <w:tcW w:w="2551" w:type="dxa"/>
            <w:tcBorders>
              <w:top w:val="single" w:sz="4" w:space="0" w:color="00B0F0"/>
              <w:left w:val="single" w:sz="4" w:space="0" w:color="00B0F0"/>
              <w:bottom w:val="single" w:sz="4" w:space="0" w:color="00B0F0"/>
              <w:right w:val="single" w:sz="4" w:space="0" w:color="00B0F0"/>
            </w:tcBorders>
          </w:tcPr>
          <w:p w14:paraId="10FB6F70" w14:textId="77777777" w:rsidR="001B53D5" w:rsidRPr="006C0C8F" w:rsidRDefault="001B53D5" w:rsidP="006C0C8F">
            <w:pPr>
              <w:pStyle w:val="Tablebody"/>
              <w:jc w:val="both"/>
              <w:rPr>
                <w:rFonts w:ascii="Arial" w:hAnsi="Arial" w:cs="Arial"/>
                <w:color w:val="auto"/>
              </w:rPr>
            </w:pPr>
            <w:r w:rsidRPr="006C0C8F">
              <w:rPr>
                <w:rFonts w:ascii="Arial" w:hAnsi="Arial" w:cs="Arial"/>
                <w:color w:val="auto"/>
              </w:rPr>
              <w:t xml:space="preserve">Landscape sensitivity assessment is a process that can help decision makers to understand likely changes and the nature of change should </w:t>
            </w:r>
            <w:proofErr w:type="gramStart"/>
            <w:r w:rsidRPr="006C0C8F">
              <w:rPr>
                <w:rFonts w:ascii="Arial" w:hAnsi="Arial" w:cs="Arial"/>
                <w:color w:val="auto"/>
              </w:rPr>
              <w:t>particular</w:t>
            </w:r>
            <w:proofErr w:type="gramEnd"/>
            <w:r w:rsidRPr="006C0C8F">
              <w:rPr>
                <w:rFonts w:ascii="Arial" w:hAnsi="Arial" w:cs="Arial"/>
                <w:color w:val="auto"/>
              </w:rPr>
              <w:t xml:space="preserve"> courses of action - the development / land management scenarios – be taken forward.</w:t>
            </w:r>
          </w:p>
          <w:p w14:paraId="38739724" w14:textId="1AF3AB32" w:rsidR="001B53D5" w:rsidRPr="006C0C8F" w:rsidRDefault="001B53D5" w:rsidP="006C0C8F">
            <w:pPr>
              <w:pStyle w:val="Tablebody"/>
              <w:jc w:val="both"/>
              <w:rPr>
                <w:rFonts w:ascii="Arial" w:hAnsi="Arial" w:cs="Arial"/>
                <w:color w:val="auto"/>
              </w:rPr>
            </w:pPr>
          </w:p>
        </w:tc>
        <w:tc>
          <w:tcPr>
            <w:tcW w:w="2835" w:type="dxa"/>
            <w:tcBorders>
              <w:top w:val="single" w:sz="4" w:space="0" w:color="00B0F0"/>
              <w:left w:val="single" w:sz="4" w:space="0" w:color="00B0F0"/>
              <w:bottom w:val="single" w:sz="4" w:space="0" w:color="00B0F0"/>
            </w:tcBorders>
          </w:tcPr>
          <w:p w14:paraId="1F17F2B4" w14:textId="77777777" w:rsidR="001B53D5" w:rsidRPr="006C0C8F" w:rsidRDefault="001B53D5" w:rsidP="006C0C8F">
            <w:pPr>
              <w:pStyle w:val="Tablebody"/>
              <w:jc w:val="both"/>
              <w:rPr>
                <w:rFonts w:ascii="Arial" w:hAnsi="Arial" w:cs="Arial"/>
                <w:color w:val="auto"/>
              </w:rPr>
            </w:pPr>
            <w:r w:rsidRPr="006C0C8F">
              <w:rPr>
                <w:rFonts w:ascii="Arial" w:hAnsi="Arial" w:cs="Arial"/>
                <w:color w:val="auto"/>
              </w:rPr>
              <w:t>‘scope to accommodate’ is a description of capacity.</w:t>
            </w:r>
          </w:p>
          <w:p w14:paraId="74C6B223" w14:textId="4F7E72CD" w:rsidR="001B53D5" w:rsidRPr="006C0C8F" w:rsidRDefault="001B53D5" w:rsidP="006C0C8F">
            <w:pPr>
              <w:pStyle w:val="Tablebody"/>
              <w:jc w:val="both"/>
              <w:rPr>
                <w:rFonts w:ascii="Arial" w:hAnsi="Arial" w:cs="Arial"/>
                <w:color w:val="auto"/>
              </w:rPr>
            </w:pPr>
            <w:r w:rsidRPr="006C0C8F">
              <w:rPr>
                <w:rFonts w:ascii="Arial" w:hAnsi="Arial" w:cs="Arial"/>
                <w:color w:val="auto"/>
              </w:rPr>
              <w:t>‘losing their character’ implies that landscape change is intrinsically harmful. Landscape character becomes different when it changes but ‘loss’ would only arise where an area of unique character became the same as other areas, resulting in a reduction in diversity.</w:t>
            </w:r>
          </w:p>
          <w:p w14:paraId="4106F113" w14:textId="77777777" w:rsidR="001B53D5" w:rsidRPr="006C0C8F" w:rsidRDefault="001B53D5" w:rsidP="006C0C8F">
            <w:pPr>
              <w:pStyle w:val="Tablebody"/>
              <w:jc w:val="both"/>
              <w:rPr>
                <w:rFonts w:ascii="Arial" w:hAnsi="Arial" w:cs="Arial"/>
                <w:color w:val="auto"/>
              </w:rPr>
            </w:pPr>
          </w:p>
          <w:p w14:paraId="787D7B53" w14:textId="18EEE01A" w:rsidR="001B53D5" w:rsidRPr="006C0C8F" w:rsidRDefault="001B53D5" w:rsidP="006C0C8F">
            <w:pPr>
              <w:pStyle w:val="Tablebody"/>
              <w:jc w:val="both"/>
              <w:rPr>
                <w:rFonts w:ascii="Arial" w:hAnsi="Arial" w:cs="Arial"/>
                <w:color w:val="auto"/>
              </w:rPr>
            </w:pPr>
          </w:p>
        </w:tc>
      </w:tr>
      <w:tr w:rsidR="006C0C8F" w:rsidRPr="006C0C8F" w14:paraId="7113FA26" w14:textId="77777777" w:rsidTr="00D92CFA">
        <w:tc>
          <w:tcPr>
            <w:tcW w:w="709" w:type="dxa"/>
            <w:tcBorders>
              <w:top w:val="single" w:sz="4" w:space="0" w:color="00B0F0"/>
              <w:bottom w:val="single" w:sz="4" w:space="0" w:color="00B0F0"/>
              <w:right w:val="single" w:sz="4" w:space="0" w:color="00B0F0"/>
            </w:tcBorders>
          </w:tcPr>
          <w:p w14:paraId="3BC2E999" w14:textId="54E37787" w:rsidR="001B53D5" w:rsidRPr="006C0C8F" w:rsidRDefault="001B53D5" w:rsidP="006C0C8F">
            <w:pPr>
              <w:pStyle w:val="Tablebody"/>
              <w:jc w:val="both"/>
              <w:rPr>
                <w:rFonts w:ascii="Arial" w:hAnsi="Arial" w:cs="Arial"/>
                <w:color w:val="auto"/>
              </w:rPr>
            </w:pPr>
            <w:r w:rsidRPr="006C0C8F">
              <w:rPr>
                <w:rFonts w:ascii="Arial" w:hAnsi="Arial" w:cs="Arial"/>
                <w:color w:val="auto"/>
              </w:rPr>
              <w:t>15</w:t>
            </w:r>
          </w:p>
        </w:tc>
        <w:tc>
          <w:tcPr>
            <w:tcW w:w="3544" w:type="dxa"/>
            <w:tcBorders>
              <w:top w:val="single" w:sz="4" w:space="0" w:color="00B0F0"/>
              <w:left w:val="single" w:sz="4" w:space="0" w:color="00B0F0"/>
              <w:bottom w:val="single" w:sz="4" w:space="0" w:color="00B0F0"/>
              <w:right w:val="single" w:sz="4" w:space="0" w:color="00B0F0"/>
            </w:tcBorders>
          </w:tcPr>
          <w:p w14:paraId="4127DA09" w14:textId="77777777" w:rsidR="001B53D5" w:rsidRPr="006C0C8F" w:rsidRDefault="001B53D5" w:rsidP="006C0C8F">
            <w:pPr>
              <w:pStyle w:val="Tablebody"/>
              <w:jc w:val="both"/>
              <w:rPr>
                <w:rFonts w:ascii="Arial" w:hAnsi="Arial" w:cs="Arial"/>
                <w:color w:val="auto"/>
              </w:rPr>
            </w:pPr>
            <w:r w:rsidRPr="006C0C8F">
              <w:rPr>
                <w:rFonts w:ascii="Arial" w:hAnsi="Arial" w:cs="Arial"/>
                <w:color w:val="auto"/>
              </w:rPr>
              <w:t xml:space="preserve">“The sensitivity study also offers an early steer to applicants that a location might be more (or less) sensitive than others in the area, and provides an indication of the level of </w:t>
            </w:r>
            <w:r w:rsidRPr="006C0C8F">
              <w:rPr>
                <w:rFonts w:ascii="Arial" w:hAnsi="Arial" w:cs="Arial"/>
                <w:color w:val="auto"/>
              </w:rPr>
              <w:lastRenderedPageBreak/>
              <w:t>assessment that may be required to support an application. Landscape sensitivity studies are an early indication of relative sensitivity and should inform the site selection process. They are an additional piece of information for some development sectors or types: for example, for wind farms alongside SNH guidance on Spatial Planning for Onshore wind farms.”</w:t>
            </w:r>
          </w:p>
          <w:p w14:paraId="3F886F0C" w14:textId="356D677C" w:rsidR="001B53D5" w:rsidRPr="006C0C8F" w:rsidRDefault="001B53D5" w:rsidP="006C0C8F">
            <w:pPr>
              <w:pStyle w:val="Tablebody"/>
              <w:jc w:val="both"/>
              <w:rPr>
                <w:rFonts w:ascii="Arial" w:hAnsi="Arial" w:cs="Arial"/>
                <w:color w:val="auto"/>
              </w:rPr>
            </w:pPr>
          </w:p>
        </w:tc>
        <w:tc>
          <w:tcPr>
            <w:tcW w:w="2551" w:type="dxa"/>
            <w:tcBorders>
              <w:top w:val="single" w:sz="4" w:space="0" w:color="00B0F0"/>
              <w:left w:val="single" w:sz="4" w:space="0" w:color="00B0F0"/>
              <w:bottom w:val="single" w:sz="4" w:space="0" w:color="00B0F0"/>
              <w:right w:val="single" w:sz="4" w:space="0" w:color="00B0F0"/>
            </w:tcBorders>
          </w:tcPr>
          <w:p w14:paraId="7018E3D7" w14:textId="45E50AE3" w:rsidR="001B53D5" w:rsidRPr="006C0C8F" w:rsidRDefault="001B53D5" w:rsidP="006C0C8F">
            <w:pPr>
              <w:pStyle w:val="Tablebody"/>
              <w:jc w:val="both"/>
              <w:rPr>
                <w:rFonts w:ascii="Arial" w:hAnsi="Arial" w:cs="Arial"/>
                <w:color w:val="auto"/>
              </w:rPr>
            </w:pPr>
            <w:r w:rsidRPr="006C0C8F">
              <w:rPr>
                <w:rFonts w:ascii="Arial" w:hAnsi="Arial" w:cs="Arial"/>
                <w:color w:val="auto"/>
              </w:rPr>
              <w:lastRenderedPageBreak/>
              <w:t xml:space="preserve">The sensitivity study also offers an early steer to applicants that a location might be more (or less) sensitive than others in the </w:t>
            </w:r>
            <w:r w:rsidRPr="006C0C8F">
              <w:rPr>
                <w:rFonts w:ascii="Arial" w:hAnsi="Arial" w:cs="Arial"/>
                <w:color w:val="auto"/>
              </w:rPr>
              <w:lastRenderedPageBreak/>
              <w:t>area and provides an indication of potential siting and design considerations.</w:t>
            </w:r>
          </w:p>
        </w:tc>
        <w:tc>
          <w:tcPr>
            <w:tcW w:w="2835" w:type="dxa"/>
            <w:tcBorders>
              <w:top w:val="single" w:sz="4" w:space="0" w:color="00B0F0"/>
              <w:left w:val="single" w:sz="4" w:space="0" w:color="00B0F0"/>
              <w:bottom w:val="single" w:sz="4" w:space="0" w:color="00B0F0"/>
            </w:tcBorders>
          </w:tcPr>
          <w:p w14:paraId="05E9B010" w14:textId="5DA934C2" w:rsidR="001B53D5" w:rsidRPr="006C0C8F" w:rsidRDefault="001B53D5" w:rsidP="006C0C8F">
            <w:pPr>
              <w:pStyle w:val="Tablebody"/>
              <w:jc w:val="both"/>
              <w:rPr>
                <w:rFonts w:ascii="Arial" w:hAnsi="Arial" w:cs="Arial"/>
                <w:color w:val="auto"/>
              </w:rPr>
            </w:pPr>
            <w:r w:rsidRPr="006C0C8F">
              <w:rPr>
                <w:rFonts w:ascii="Arial" w:hAnsi="Arial" w:cs="Arial"/>
                <w:color w:val="auto"/>
              </w:rPr>
              <w:lastRenderedPageBreak/>
              <w:t xml:space="preserve">The sensitivity of a location does not affect ‘the level of assessment’. Specific refences to wind energy are not necessary here and </w:t>
            </w:r>
            <w:r w:rsidRPr="006C0C8F">
              <w:rPr>
                <w:rFonts w:ascii="Arial" w:hAnsi="Arial" w:cs="Arial"/>
                <w:color w:val="auto"/>
              </w:rPr>
              <w:lastRenderedPageBreak/>
              <w:t>appear to encourage the mindset that wind development should continue to be restricted via sensitivity studies.</w:t>
            </w:r>
          </w:p>
        </w:tc>
      </w:tr>
      <w:tr w:rsidR="006C0C8F" w:rsidRPr="006C0C8F" w14:paraId="3B16BE30" w14:textId="77777777" w:rsidTr="00D92CFA">
        <w:tc>
          <w:tcPr>
            <w:tcW w:w="709" w:type="dxa"/>
            <w:tcBorders>
              <w:top w:val="single" w:sz="4" w:space="0" w:color="00B0F0"/>
              <w:bottom w:val="single" w:sz="4" w:space="0" w:color="00B0F0"/>
              <w:right w:val="single" w:sz="4" w:space="0" w:color="00B0F0"/>
            </w:tcBorders>
          </w:tcPr>
          <w:p w14:paraId="6AE7B8CD" w14:textId="12A980E8" w:rsidR="001B53D5" w:rsidRPr="006C0C8F" w:rsidRDefault="001B53D5" w:rsidP="006C0C8F">
            <w:pPr>
              <w:pStyle w:val="Tablebody"/>
              <w:jc w:val="both"/>
              <w:rPr>
                <w:rFonts w:ascii="Arial" w:hAnsi="Arial" w:cs="Arial"/>
                <w:color w:val="auto"/>
              </w:rPr>
            </w:pPr>
            <w:r w:rsidRPr="006C0C8F">
              <w:rPr>
                <w:rFonts w:ascii="Arial" w:hAnsi="Arial" w:cs="Arial"/>
                <w:color w:val="auto"/>
              </w:rPr>
              <w:lastRenderedPageBreak/>
              <w:t>16</w:t>
            </w:r>
          </w:p>
        </w:tc>
        <w:tc>
          <w:tcPr>
            <w:tcW w:w="3544" w:type="dxa"/>
            <w:tcBorders>
              <w:top w:val="single" w:sz="4" w:space="0" w:color="00B0F0"/>
              <w:left w:val="single" w:sz="4" w:space="0" w:color="00B0F0"/>
              <w:bottom w:val="single" w:sz="4" w:space="0" w:color="00B0F0"/>
              <w:right w:val="single" w:sz="4" w:space="0" w:color="00B0F0"/>
            </w:tcBorders>
          </w:tcPr>
          <w:p w14:paraId="56A975C6" w14:textId="5006D1E6" w:rsidR="001B53D5" w:rsidRPr="006C0C8F" w:rsidRDefault="001B53D5" w:rsidP="006C0C8F">
            <w:pPr>
              <w:pStyle w:val="Tablebody"/>
              <w:jc w:val="both"/>
              <w:rPr>
                <w:rFonts w:ascii="Arial" w:hAnsi="Arial" w:cs="Arial"/>
                <w:color w:val="auto"/>
              </w:rPr>
            </w:pPr>
            <w:r w:rsidRPr="006C0C8F">
              <w:rPr>
                <w:rFonts w:ascii="Arial" w:hAnsi="Arial" w:cs="Arial"/>
                <w:color w:val="auto"/>
              </w:rPr>
              <w:t>Whole paragraph</w:t>
            </w:r>
          </w:p>
        </w:tc>
        <w:tc>
          <w:tcPr>
            <w:tcW w:w="2551" w:type="dxa"/>
            <w:tcBorders>
              <w:top w:val="single" w:sz="4" w:space="0" w:color="00B0F0"/>
              <w:left w:val="single" w:sz="4" w:space="0" w:color="00B0F0"/>
              <w:bottom w:val="single" w:sz="4" w:space="0" w:color="00B0F0"/>
              <w:right w:val="single" w:sz="4" w:space="0" w:color="00B0F0"/>
            </w:tcBorders>
          </w:tcPr>
          <w:p w14:paraId="3E181CF3" w14:textId="513834FD" w:rsidR="001B53D5" w:rsidRPr="006C0C8F" w:rsidRDefault="001B53D5" w:rsidP="006C0C8F">
            <w:pPr>
              <w:pStyle w:val="Tablebody"/>
              <w:jc w:val="both"/>
              <w:rPr>
                <w:rFonts w:ascii="Arial" w:hAnsi="Arial" w:cs="Arial"/>
                <w:color w:val="auto"/>
              </w:rPr>
            </w:pPr>
            <w:r w:rsidRPr="006C0C8F">
              <w:rPr>
                <w:rFonts w:ascii="Arial" w:hAnsi="Arial" w:cs="Arial"/>
                <w:color w:val="auto"/>
              </w:rPr>
              <w:t>Landscape sensitivity assessment is a flexible approach that can inform decisions on where new development, and / or changes in land management, might be most appropriately directed / located from a landscape point of view. Whilst every planning application will need to be judged on its own merits, its suitability may be informed, in part, by an appropriate Landscape sensitivity assessment.</w:t>
            </w:r>
          </w:p>
        </w:tc>
        <w:tc>
          <w:tcPr>
            <w:tcW w:w="2835" w:type="dxa"/>
            <w:tcBorders>
              <w:top w:val="single" w:sz="4" w:space="0" w:color="00B0F0"/>
              <w:left w:val="single" w:sz="4" w:space="0" w:color="00B0F0"/>
              <w:bottom w:val="single" w:sz="4" w:space="0" w:color="00B0F0"/>
            </w:tcBorders>
          </w:tcPr>
          <w:p w14:paraId="3E1B5EF5" w14:textId="14BDE62D" w:rsidR="001B53D5" w:rsidRPr="006C0C8F" w:rsidRDefault="001B53D5" w:rsidP="006C0C8F">
            <w:pPr>
              <w:pStyle w:val="Tablebody"/>
              <w:jc w:val="both"/>
              <w:rPr>
                <w:rFonts w:ascii="Arial" w:hAnsi="Arial" w:cs="Arial"/>
                <w:color w:val="auto"/>
              </w:rPr>
            </w:pPr>
            <w:r w:rsidRPr="006C0C8F">
              <w:rPr>
                <w:rFonts w:ascii="Arial" w:hAnsi="Arial" w:cs="Arial"/>
                <w:color w:val="auto"/>
              </w:rPr>
              <w:t xml:space="preserve">Landscape sensitivity studies are one of the information sources for LVIA, rather than the starting point. The suggested wording provides a more accurate description of the uses of sensitivity assessments and the relationship between LVIA and sensitivity assessments. </w:t>
            </w:r>
          </w:p>
        </w:tc>
      </w:tr>
      <w:tr w:rsidR="006C0C8F" w:rsidRPr="006C0C8F" w14:paraId="03E5E1B3" w14:textId="77777777" w:rsidTr="001B53D5">
        <w:tc>
          <w:tcPr>
            <w:tcW w:w="709" w:type="dxa"/>
            <w:tcBorders>
              <w:top w:val="single" w:sz="4" w:space="0" w:color="00B0F0"/>
              <w:bottom w:val="single" w:sz="4" w:space="0" w:color="00B0F0"/>
              <w:right w:val="single" w:sz="4" w:space="0" w:color="00B0F0"/>
            </w:tcBorders>
          </w:tcPr>
          <w:p w14:paraId="728B0177" w14:textId="0318EA0C" w:rsidR="001B53D5" w:rsidRPr="006C0C8F" w:rsidRDefault="001B53D5" w:rsidP="006C0C8F">
            <w:pPr>
              <w:pStyle w:val="Tablebody"/>
              <w:jc w:val="both"/>
              <w:rPr>
                <w:rFonts w:ascii="Arial" w:hAnsi="Arial" w:cs="Arial"/>
                <w:color w:val="auto"/>
              </w:rPr>
            </w:pPr>
            <w:r w:rsidRPr="006C0C8F">
              <w:rPr>
                <w:rFonts w:ascii="Arial" w:hAnsi="Arial" w:cs="Arial"/>
                <w:color w:val="auto"/>
              </w:rPr>
              <w:t>2.2.7</w:t>
            </w:r>
          </w:p>
        </w:tc>
        <w:tc>
          <w:tcPr>
            <w:tcW w:w="3544" w:type="dxa"/>
            <w:tcBorders>
              <w:top w:val="single" w:sz="4" w:space="0" w:color="00B0F0"/>
              <w:left w:val="single" w:sz="4" w:space="0" w:color="00B0F0"/>
              <w:bottom w:val="single" w:sz="4" w:space="0" w:color="00B0F0"/>
              <w:right w:val="single" w:sz="4" w:space="0" w:color="00B0F0"/>
            </w:tcBorders>
          </w:tcPr>
          <w:p w14:paraId="59C41DC0" w14:textId="6DD7897A" w:rsidR="001B53D5" w:rsidRPr="006C0C8F" w:rsidRDefault="001B53D5" w:rsidP="006C0C8F">
            <w:pPr>
              <w:pStyle w:val="Tablebody"/>
              <w:jc w:val="both"/>
              <w:rPr>
                <w:rFonts w:ascii="Arial" w:hAnsi="Arial" w:cs="Arial"/>
                <w:color w:val="auto"/>
              </w:rPr>
            </w:pPr>
            <w:r w:rsidRPr="006C0C8F">
              <w:rPr>
                <w:rFonts w:ascii="Arial" w:hAnsi="Arial" w:cs="Arial"/>
                <w:color w:val="auto"/>
              </w:rPr>
              <w:t>Whole paragraph</w:t>
            </w:r>
          </w:p>
        </w:tc>
        <w:tc>
          <w:tcPr>
            <w:tcW w:w="2551" w:type="dxa"/>
            <w:tcBorders>
              <w:top w:val="single" w:sz="4" w:space="0" w:color="00B0F0"/>
              <w:left w:val="single" w:sz="4" w:space="0" w:color="00B0F0"/>
              <w:bottom w:val="single" w:sz="4" w:space="0" w:color="00B0F0"/>
              <w:right w:val="single" w:sz="4" w:space="0" w:color="00B0F0"/>
            </w:tcBorders>
          </w:tcPr>
          <w:p w14:paraId="53B641C4" w14:textId="00C1F33B" w:rsidR="001B53D5" w:rsidRPr="006C0C8F" w:rsidRDefault="001B53D5" w:rsidP="006C0C8F">
            <w:pPr>
              <w:pStyle w:val="Tablebody"/>
              <w:jc w:val="both"/>
              <w:rPr>
                <w:rFonts w:ascii="Arial" w:hAnsi="Arial" w:cs="Arial"/>
                <w:color w:val="auto"/>
              </w:rPr>
            </w:pPr>
            <w:r w:rsidRPr="006C0C8F">
              <w:rPr>
                <w:rFonts w:ascii="Arial" w:hAnsi="Arial" w:cs="Arial"/>
                <w:color w:val="auto"/>
              </w:rPr>
              <w:t>Suggest deletion</w:t>
            </w:r>
          </w:p>
        </w:tc>
        <w:tc>
          <w:tcPr>
            <w:tcW w:w="2835" w:type="dxa"/>
            <w:tcBorders>
              <w:top w:val="single" w:sz="4" w:space="0" w:color="00B0F0"/>
              <w:left w:val="single" w:sz="4" w:space="0" w:color="00B0F0"/>
              <w:bottom w:val="single" w:sz="4" w:space="0" w:color="00B0F0"/>
            </w:tcBorders>
          </w:tcPr>
          <w:p w14:paraId="1205CF14" w14:textId="56630470" w:rsidR="001B53D5" w:rsidRPr="006C0C8F" w:rsidRDefault="001B53D5" w:rsidP="006C0C8F">
            <w:pPr>
              <w:pStyle w:val="Tablebody"/>
              <w:jc w:val="both"/>
              <w:rPr>
                <w:rFonts w:ascii="Arial" w:hAnsi="Arial" w:cs="Arial"/>
                <w:color w:val="auto"/>
              </w:rPr>
            </w:pPr>
            <w:r w:rsidRPr="006C0C8F">
              <w:rPr>
                <w:rFonts w:ascii="Arial" w:hAnsi="Arial" w:cs="Arial"/>
                <w:color w:val="auto"/>
              </w:rPr>
              <w:t>Assessment units should not be ‘designed’ so that they give the ‘right answer’ in terms of a sensitivity rating. Some variability is to be expected within character areas and the purpose of the assessment is to identify any variations that arise and guide development and/or land management appropriately. This is better done through description than by subdividing character areas.</w:t>
            </w:r>
          </w:p>
        </w:tc>
      </w:tr>
      <w:tr w:rsidR="006C0C8F" w:rsidRPr="006C0C8F" w14:paraId="075FBB42" w14:textId="77777777" w:rsidTr="00D92CFA">
        <w:tc>
          <w:tcPr>
            <w:tcW w:w="709" w:type="dxa"/>
            <w:tcBorders>
              <w:top w:val="single" w:sz="4" w:space="0" w:color="00B0F0"/>
              <w:bottom w:val="nil"/>
              <w:right w:val="single" w:sz="4" w:space="0" w:color="00B0F0"/>
            </w:tcBorders>
          </w:tcPr>
          <w:p w14:paraId="6532D8CC" w14:textId="77777777" w:rsidR="001B53D5" w:rsidRPr="006C0C8F" w:rsidRDefault="001B53D5" w:rsidP="006C0C8F">
            <w:pPr>
              <w:pStyle w:val="Tablebody"/>
              <w:jc w:val="both"/>
              <w:rPr>
                <w:rFonts w:ascii="Arial" w:hAnsi="Arial" w:cs="Arial"/>
                <w:color w:val="auto"/>
              </w:rPr>
            </w:pPr>
          </w:p>
        </w:tc>
        <w:tc>
          <w:tcPr>
            <w:tcW w:w="3544" w:type="dxa"/>
            <w:tcBorders>
              <w:top w:val="single" w:sz="4" w:space="0" w:color="00B0F0"/>
              <w:left w:val="single" w:sz="4" w:space="0" w:color="00B0F0"/>
              <w:bottom w:val="nil"/>
              <w:right w:val="single" w:sz="4" w:space="0" w:color="00B0F0"/>
            </w:tcBorders>
          </w:tcPr>
          <w:p w14:paraId="6AB3F721" w14:textId="77777777" w:rsidR="001B53D5" w:rsidRPr="006C0C8F" w:rsidRDefault="001B53D5" w:rsidP="006C0C8F">
            <w:pPr>
              <w:pStyle w:val="Tablebody"/>
              <w:jc w:val="both"/>
              <w:rPr>
                <w:rFonts w:ascii="Arial" w:hAnsi="Arial" w:cs="Arial"/>
                <w:color w:val="auto"/>
              </w:rPr>
            </w:pPr>
          </w:p>
        </w:tc>
        <w:tc>
          <w:tcPr>
            <w:tcW w:w="2551" w:type="dxa"/>
            <w:tcBorders>
              <w:top w:val="single" w:sz="4" w:space="0" w:color="00B0F0"/>
              <w:left w:val="single" w:sz="4" w:space="0" w:color="00B0F0"/>
              <w:bottom w:val="nil"/>
              <w:right w:val="single" w:sz="4" w:space="0" w:color="00B0F0"/>
            </w:tcBorders>
          </w:tcPr>
          <w:p w14:paraId="151C91D8" w14:textId="77777777" w:rsidR="001B53D5" w:rsidRPr="006C0C8F" w:rsidRDefault="001B53D5" w:rsidP="006C0C8F">
            <w:pPr>
              <w:pStyle w:val="Tablebody"/>
              <w:jc w:val="both"/>
              <w:rPr>
                <w:rFonts w:ascii="Arial" w:hAnsi="Arial" w:cs="Arial"/>
                <w:color w:val="auto"/>
              </w:rPr>
            </w:pPr>
          </w:p>
        </w:tc>
        <w:tc>
          <w:tcPr>
            <w:tcW w:w="2835" w:type="dxa"/>
            <w:tcBorders>
              <w:top w:val="single" w:sz="4" w:space="0" w:color="00B0F0"/>
              <w:left w:val="single" w:sz="4" w:space="0" w:color="00B0F0"/>
              <w:bottom w:val="nil"/>
            </w:tcBorders>
          </w:tcPr>
          <w:p w14:paraId="0413D1AE" w14:textId="77777777" w:rsidR="001B53D5" w:rsidRPr="006C0C8F" w:rsidRDefault="001B53D5" w:rsidP="006C0C8F">
            <w:pPr>
              <w:pStyle w:val="Tablebody"/>
              <w:jc w:val="both"/>
              <w:rPr>
                <w:rFonts w:ascii="Arial" w:hAnsi="Arial" w:cs="Arial"/>
                <w:color w:val="auto"/>
              </w:rPr>
            </w:pPr>
          </w:p>
        </w:tc>
      </w:tr>
    </w:tbl>
    <w:p w14:paraId="25F97ED3" w14:textId="77777777" w:rsidR="00D92CFA" w:rsidRPr="006C0C8F" w:rsidRDefault="00D92CFA" w:rsidP="006C0C8F">
      <w:pPr>
        <w:jc w:val="both"/>
        <w:rPr>
          <w:rFonts w:cs="Arial"/>
          <w:bCs/>
          <w:sz w:val="24"/>
          <w:szCs w:val="24"/>
        </w:rPr>
      </w:pPr>
    </w:p>
    <w:p w14:paraId="3BDB6530" w14:textId="77777777" w:rsidR="001B53D5" w:rsidRPr="006C0C8F" w:rsidRDefault="001B53D5" w:rsidP="006C0C8F">
      <w:pPr>
        <w:pStyle w:val="Heading1"/>
      </w:pPr>
      <w:r w:rsidRPr="006C0C8F">
        <w:br w:type="page"/>
      </w:r>
      <w:bookmarkStart w:id="9" w:name="_Toc48902203"/>
      <w:bookmarkStart w:id="10" w:name="_Toc48902671"/>
      <w:bookmarkStart w:id="11" w:name="_Toc48902756"/>
      <w:r w:rsidRPr="006C0C8F">
        <w:lastRenderedPageBreak/>
        <w:t>Theme B – Approach to landscape value</w:t>
      </w:r>
      <w:bookmarkEnd w:id="9"/>
      <w:bookmarkEnd w:id="10"/>
      <w:bookmarkEnd w:id="11"/>
    </w:p>
    <w:p w14:paraId="6AC5C6C4" w14:textId="77777777" w:rsidR="001B53D5" w:rsidRPr="006C0C8F" w:rsidRDefault="001B53D5" w:rsidP="006C0C8F">
      <w:pPr>
        <w:pStyle w:val="Heading2"/>
        <w:jc w:val="both"/>
      </w:pPr>
      <w:bookmarkStart w:id="12" w:name="_Toc48902204"/>
      <w:r w:rsidRPr="006C0C8F">
        <w:t>Introduction</w:t>
      </w:r>
      <w:bookmarkEnd w:id="12"/>
    </w:p>
    <w:p w14:paraId="40672F5C" w14:textId="77777777" w:rsidR="001B53D5" w:rsidRPr="006C0C8F" w:rsidRDefault="001B53D5" w:rsidP="006C0C8F">
      <w:pPr>
        <w:jc w:val="both"/>
      </w:pPr>
      <w:r w:rsidRPr="006C0C8F">
        <w:t>The approach to landscape value is not clearly defined; is disconnected from established best practice and could be better described.</w:t>
      </w:r>
    </w:p>
    <w:p w14:paraId="5190B476" w14:textId="77777777" w:rsidR="001B53D5" w:rsidRPr="006C0C8F" w:rsidRDefault="001B53D5" w:rsidP="006C0C8F">
      <w:pPr>
        <w:pStyle w:val="Heading2"/>
        <w:jc w:val="both"/>
      </w:pPr>
      <w:bookmarkStart w:id="13" w:name="_Toc48902205"/>
      <w:r w:rsidRPr="006C0C8F">
        <w:t>Comments</w:t>
      </w:r>
      <w:bookmarkEnd w:id="13"/>
    </w:p>
    <w:p w14:paraId="3767FD1E" w14:textId="77777777" w:rsidR="001B53D5" w:rsidRPr="006C0C8F" w:rsidRDefault="001B53D5" w:rsidP="006C0C8F">
      <w:pPr>
        <w:jc w:val="both"/>
      </w:pPr>
      <w:r w:rsidRPr="006C0C8F">
        <w:t>It is important that landscape value is considered in sensitivity studies in a manner which is consistent with other work on landscape value. In the context of the draft guidance, this means that:</w:t>
      </w:r>
    </w:p>
    <w:p w14:paraId="2B66311B" w14:textId="77777777" w:rsidR="001B53D5" w:rsidRPr="006C0C8F" w:rsidRDefault="001B53D5" w:rsidP="006C0C8F">
      <w:pPr>
        <w:pStyle w:val="Bulletlist"/>
        <w:rPr>
          <w:color w:val="auto"/>
        </w:rPr>
      </w:pPr>
      <w:r w:rsidRPr="006C0C8F">
        <w:rPr>
          <w:color w:val="auto"/>
        </w:rPr>
        <w:t>Where local studies have been undertaken to establish landscape value to support local designations, those studies should be used to inform judgements about landscape value in the sensitivity study. This avoids inconsistencies between the two studies.</w:t>
      </w:r>
    </w:p>
    <w:p w14:paraId="0A769E0C" w14:textId="77777777" w:rsidR="001B53D5" w:rsidRPr="006C0C8F" w:rsidRDefault="001B53D5" w:rsidP="006C0C8F">
      <w:pPr>
        <w:pStyle w:val="Bulletlist"/>
        <w:rPr>
          <w:color w:val="auto"/>
        </w:rPr>
      </w:pPr>
      <w:r w:rsidRPr="006C0C8F">
        <w:rPr>
          <w:color w:val="auto"/>
        </w:rPr>
        <w:t xml:space="preserve">The criteria used within sensitivity studies to consider landscape value should not be different to those used to establish landscape value for designation purposes. The SNH 2017 ‘Draft Guidance on Local Landscape Areas’ (especially if </w:t>
      </w:r>
      <w:proofErr w:type="spellStart"/>
      <w:r w:rsidRPr="006C0C8F">
        <w:rPr>
          <w:color w:val="auto"/>
        </w:rPr>
        <w:t>finalised</w:t>
      </w:r>
      <w:proofErr w:type="spellEnd"/>
      <w:r w:rsidRPr="006C0C8F">
        <w:rPr>
          <w:color w:val="auto"/>
        </w:rPr>
        <w:t xml:space="preserve">), could provide effective guidance here. If established value indicators are </w:t>
      </w:r>
      <w:proofErr w:type="gramStart"/>
      <w:r w:rsidRPr="006C0C8F">
        <w:rPr>
          <w:color w:val="auto"/>
        </w:rPr>
        <w:t>used</w:t>
      </w:r>
      <w:proofErr w:type="gramEnd"/>
      <w:r w:rsidRPr="006C0C8F">
        <w:rPr>
          <w:color w:val="auto"/>
        </w:rPr>
        <w:t xml:space="preserve"> then overlaps between value and susceptibility criteria should be more easily avoided (para. 2.3.9).</w:t>
      </w:r>
    </w:p>
    <w:p w14:paraId="0399DF8C" w14:textId="77777777" w:rsidR="001B53D5" w:rsidRPr="006C0C8F" w:rsidRDefault="001B53D5" w:rsidP="006C0C8F">
      <w:pPr>
        <w:pStyle w:val="Bulletlist"/>
        <w:rPr>
          <w:color w:val="auto"/>
        </w:rPr>
      </w:pPr>
      <w:r w:rsidRPr="006C0C8F">
        <w:rPr>
          <w:color w:val="auto"/>
        </w:rPr>
        <w:t>Ratings used for landscape value within a local area must still be scaled to a national context. I.e. the highest value should be ‘reserved’ for nationally valued landscapes. To do otherwise can lead to problems with cross boundary considerations – e.g. if one study attributes ‘High’ value for its locally designated landscapes, but the adjacent area includes an NSA and so has that area as ‘High’ value and the local designations as ‘Medium’. Given this need for comparable assessments it may be better to use ratings of National, Regional, Community as suggested in GLVIA3 (rather than High/Medium/Low) when considering value.</w:t>
      </w:r>
    </w:p>
    <w:p w14:paraId="24FB6A3B" w14:textId="77777777" w:rsidR="003B7737" w:rsidRPr="006C0C8F" w:rsidRDefault="003B7737" w:rsidP="006C0C8F">
      <w:pPr>
        <w:jc w:val="both"/>
      </w:pPr>
    </w:p>
    <w:p w14:paraId="41219F47" w14:textId="1899B96F" w:rsidR="001B53D5" w:rsidRPr="006C0C8F" w:rsidRDefault="001B53D5" w:rsidP="006C0C8F">
      <w:pPr>
        <w:jc w:val="both"/>
      </w:pPr>
      <w:r w:rsidRPr="006C0C8F">
        <w:t xml:space="preserve">Paragraph 2.2.10, Figure 5 and paras. 2.3.7 to 2.3.10 do not match with best practice in considering landscape value. Figure 5 contains a mix of landscape, heritage, recreation, </w:t>
      </w:r>
      <w:proofErr w:type="gramStart"/>
      <w:r w:rsidRPr="006C0C8F">
        <w:t>tourism</w:t>
      </w:r>
      <w:proofErr w:type="gramEnd"/>
      <w:r w:rsidRPr="006C0C8F">
        <w:t xml:space="preserve"> and ecological considerations with no assistance as to how these should be treated. All are potential indicators of landscape value, but designation as an NSA for instance is a far clearer and more reliable indicator than the presence of an SSSI or Listed Building. If it is considered that a list of value indicators may be helpful within this guidance then they should be organised more clearly, and Dark Sky Parks and Discovery Sites could be mentioned as indicators of valued </w:t>
      </w:r>
      <w:proofErr w:type="spellStart"/>
      <w:r w:rsidR="006C0C8F" w:rsidRPr="006C0C8F">
        <w:t>nighttime</w:t>
      </w:r>
      <w:proofErr w:type="spellEnd"/>
      <w:r w:rsidRPr="006C0C8F">
        <w:t xml:space="preserve"> environments. </w:t>
      </w:r>
    </w:p>
    <w:p w14:paraId="41E84115" w14:textId="77777777" w:rsidR="001B53D5" w:rsidRPr="006C0C8F" w:rsidRDefault="001B53D5" w:rsidP="006C0C8F">
      <w:pPr>
        <w:jc w:val="both"/>
      </w:pPr>
      <w:r w:rsidRPr="006C0C8F">
        <w:t xml:space="preserve">Wild Land Areas are not a recognised indicator of landscape value (para 2.2.10 and Figure 5). The consensus reached in identifying Wild Land Areas is that they all have a wild character. This is a consensus regarding their perceptual and physical characteristics (and related high </w:t>
      </w:r>
      <w:r w:rsidRPr="006C0C8F">
        <w:rPr>
          <w:u w:val="single"/>
        </w:rPr>
        <w:t>susceptibility</w:t>
      </w:r>
      <w:r w:rsidRPr="006C0C8F">
        <w:t xml:space="preserve"> to some changes) rather than value. Some areas of Wild Land coincide with national and local landscape designations, which do provide indicators of value, but others do not coincide with those designations and no inference of value should be drawn from the consensus that such areas have a wild character.</w:t>
      </w:r>
    </w:p>
    <w:p w14:paraId="72445784" w14:textId="77777777" w:rsidR="003B7737" w:rsidRPr="006C0C8F" w:rsidRDefault="003B7737" w:rsidP="006C0C8F">
      <w:pPr>
        <w:jc w:val="both"/>
      </w:pPr>
    </w:p>
    <w:p w14:paraId="061597C0" w14:textId="6B032236" w:rsidR="001B53D5" w:rsidRPr="006C0C8F" w:rsidRDefault="001B53D5" w:rsidP="006C0C8F">
      <w:pPr>
        <w:jc w:val="both"/>
      </w:pPr>
      <w:r w:rsidRPr="006C0C8F">
        <w:t>The examples provided in this section are misleading:</w:t>
      </w:r>
    </w:p>
    <w:p w14:paraId="056B616B" w14:textId="77777777" w:rsidR="001B53D5" w:rsidRPr="006C0C8F" w:rsidRDefault="001B53D5" w:rsidP="006C0C8F">
      <w:pPr>
        <w:pStyle w:val="Bulletlist"/>
        <w:rPr>
          <w:color w:val="auto"/>
        </w:rPr>
      </w:pPr>
      <w:r w:rsidRPr="006C0C8F">
        <w:rPr>
          <w:color w:val="auto"/>
        </w:rPr>
        <w:t>The presence of a designation covering a small part of a character unit when the rest is undesignated would not necessarily increase its value as suggested at 2.3.7. This would need to be considered in context.</w:t>
      </w:r>
    </w:p>
    <w:p w14:paraId="0384EFFC" w14:textId="77777777" w:rsidR="001B53D5" w:rsidRPr="006C0C8F" w:rsidRDefault="001B53D5" w:rsidP="006C0C8F">
      <w:pPr>
        <w:pStyle w:val="Bulletlist"/>
        <w:rPr>
          <w:color w:val="auto"/>
        </w:rPr>
      </w:pPr>
      <w:r w:rsidRPr="006C0C8F">
        <w:rPr>
          <w:color w:val="auto"/>
        </w:rPr>
        <w:t xml:space="preserve">Core paths should not be treated as an indicator of High value as suggested at 2.3.8. Core paths may indicate local recreational value or may not – for instance if character area only contains one short core path connecting two parts of a village that is not an indication of High landscape value across the character unit. </w:t>
      </w:r>
    </w:p>
    <w:p w14:paraId="5EAB78FE" w14:textId="0DEC32F8" w:rsidR="001B53D5" w:rsidRPr="006C0C8F" w:rsidRDefault="001B53D5" w:rsidP="006C0C8F">
      <w:pPr>
        <w:pStyle w:val="Bulletlist"/>
        <w:rPr>
          <w:color w:val="auto"/>
        </w:rPr>
      </w:pPr>
      <w:r w:rsidRPr="006C0C8F">
        <w:rPr>
          <w:color w:val="auto"/>
        </w:rPr>
        <w:t xml:space="preserve">The examples in paragraphs 2.3.9 and 2.3.10 do not assist in </w:t>
      </w:r>
      <w:proofErr w:type="spellStart"/>
      <w:r w:rsidRPr="006C0C8F">
        <w:rPr>
          <w:color w:val="auto"/>
        </w:rPr>
        <w:t>understandingthe</w:t>
      </w:r>
      <w:proofErr w:type="spellEnd"/>
      <w:r w:rsidRPr="006C0C8F">
        <w:rPr>
          <w:color w:val="auto"/>
        </w:rPr>
        <w:t xml:space="preserve"> preceding text, and their intent is unclear.</w:t>
      </w:r>
      <w:r w:rsidRPr="006C0C8F">
        <w:br w:type="page"/>
      </w:r>
    </w:p>
    <w:p w14:paraId="734D863B" w14:textId="77777777" w:rsidR="001B53D5" w:rsidRPr="006C0C8F" w:rsidRDefault="001B53D5" w:rsidP="006C0C8F">
      <w:pPr>
        <w:pStyle w:val="Heading1"/>
      </w:pPr>
      <w:bookmarkStart w:id="14" w:name="_Toc48902206"/>
      <w:bookmarkStart w:id="15" w:name="_Toc48902672"/>
      <w:bookmarkStart w:id="16" w:name="_Toc48902757"/>
      <w:r w:rsidRPr="006C0C8F">
        <w:lastRenderedPageBreak/>
        <w:t>Theme C – Focus on technical guidance</w:t>
      </w:r>
      <w:bookmarkEnd w:id="14"/>
      <w:bookmarkEnd w:id="15"/>
      <w:bookmarkEnd w:id="16"/>
    </w:p>
    <w:p w14:paraId="00237D19" w14:textId="77777777" w:rsidR="001B53D5" w:rsidRPr="006C0C8F" w:rsidRDefault="001B53D5" w:rsidP="006C0C8F">
      <w:pPr>
        <w:pStyle w:val="Heading2"/>
        <w:jc w:val="both"/>
      </w:pPr>
      <w:bookmarkStart w:id="17" w:name="_Toc48902207"/>
      <w:r w:rsidRPr="006C0C8F">
        <w:t>Introduction</w:t>
      </w:r>
      <w:bookmarkEnd w:id="17"/>
    </w:p>
    <w:p w14:paraId="6C82DEB4" w14:textId="77777777" w:rsidR="001B53D5" w:rsidRPr="006C0C8F" w:rsidRDefault="001B53D5" w:rsidP="006C0C8F">
      <w:pPr>
        <w:jc w:val="both"/>
      </w:pPr>
      <w:r w:rsidRPr="006C0C8F">
        <w:t>The guidance provides a mix of advice about the technical requirements for assessment and tips on how to procure and manage the production of an assessment. We suggest that it would be better to focus the guidance on the technical aspects, moving the management advice to an annex, or a revised version of ‘A Guide to Commissioning a Landscape Capacity Study Toolkit’.</w:t>
      </w:r>
    </w:p>
    <w:p w14:paraId="73A68930" w14:textId="77777777" w:rsidR="001B53D5" w:rsidRPr="006C0C8F" w:rsidRDefault="001B53D5" w:rsidP="006C0C8F">
      <w:pPr>
        <w:pStyle w:val="Heading2"/>
        <w:jc w:val="both"/>
      </w:pPr>
      <w:bookmarkStart w:id="18" w:name="_Toc48902208"/>
      <w:r w:rsidRPr="006C0C8F">
        <w:t>Comments</w:t>
      </w:r>
      <w:bookmarkEnd w:id="18"/>
    </w:p>
    <w:p w14:paraId="56E9F0F2" w14:textId="77777777" w:rsidR="001B53D5" w:rsidRPr="006C0C8F" w:rsidRDefault="001B53D5" w:rsidP="006C0C8F">
      <w:pPr>
        <w:jc w:val="both"/>
      </w:pPr>
      <w:r w:rsidRPr="006C0C8F">
        <w:t>The following paragraphs set out management / commissioning rather than technical guidance and would be best being removed from the main body of the guidance. They could be included in Appendix 3 which contains related advice, or a revised version of ‘A Guide to Commissioning a Landscape Capacity Study Toolkit’ as discussed in section 6 of this response:</w:t>
      </w:r>
    </w:p>
    <w:p w14:paraId="67CD4D27" w14:textId="77777777" w:rsidR="001B53D5" w:rsidRPr="006C0C8F" w:rsidRDefault="001B53D5" w:rsidP="006C0C8F">
      <w:pPr>
        <w:pStyle w:val="Bulletlist"/>
        <w:rPr>
          <w:color w:val="auto"/>
        </w:rPr>
      </w:pPr>
      <w:r w:rsidRPr="006C0C8F">
        <w:rPr>
          <w:color w:val="auto"/>
        </w:rPr>
        <w:t>1.4</w:t>
      </w:r>
    </w:p>
    <w:p w14:paraId="4A15B7D2" w14:textId="77777777" w:rsidR="001B53D5" w:rsidRPr="006C0C8F" w:rsidRDefault="001B53D5" w:rsidP="006C0C8F">
      <w:pPr>
        <w:pStyle w:val="Bulletlist"/>
        <w:rPr>
          <w:color w:val="auto"/>
        </w:rPr>
      </w:pPr>
      <w:r w:rsidRPr="006C0C8F">
        <w:rPr>
          <w:color w:val="auto"/>
        </w:rPr>
        <w:t>1.6</w:t>
      </w:r>
    </w:p>
    <w:p w14:paraId="3E39C749" w14:textId="77777777" w:rsidR="001B53D5" w:rsidRPr="006C0C8F" w:rsidRDefault="001B53D5" w:rsidP="006C0C8F">
      <w:pPr>
        <w:pStyle w:val="Bulletlist"/>
        <w:rPr>
          <w:color w:val="auto"/>
        </w:rPr>
      </w:pPr>
      <w:r w:rsidRPr="006C0C8F">
        <w:rPr>
          <w:color w:val="auto"/>
        </w:rPr>
        <w:t>1.8</w:t>
      </w:r>
    </w:p>
    <w:p w14:paraId="499F06BF" w14:textId="77777777" w:rsidR="001B53D5" w:rsidRPr="006C0C8F" w:rsidRDefault="001B53D5" w:rsidP="006C0C8F">
      <w:pPr>
        <w:pStyle w:val="Bulletlist"/>
        <w:rPr>
          <w:color w:val="auto"/>
        </w:rPr>
      </w:pPr>
      <w:r w:rsidRPr="006C0C8F">
        <w:rPr>
          <w:color w:val="auto"/>
        </w:rPr>
        <w:t>1.9 (in part)</w:t>
      </w:r>
    </w:p>
    <w:p w14:paraId="74D2B54F" w14:textId="77777777" w:rsidR="001B53D5" w:rsidRPr="006C0C8F" w:rsidRDefault="001B53D5" w:rsidP="006C0C8F">
      <w:pPr>
        <w:pStyle w:val="Bulletlist"/>
        <w:rPr>
          <w:color w:val="auto"/>
        </w:rPr>
      </w:pPr>
      <w:r w:rsidRPr="006C0C8F">
        <w:rPr>
          <w:color w:val="auto"/>
        </w:rPr>
        <w:t>1.11-1.12</w:t>
      </w:r>
    </w:p>
    <w:p w14:paraId="5282956E" w14:textId="77777777" w:rsidR="001B53D5" w:rsidRPr="006C0C8F" w:rsidRDefault="001B53D5" w:rsidP="006C0C8F">
      <w:pPr>
        <w:pStyle w:val="Bulletlist"/>
        <w:rPr>
          <w:color w:val="auto"/>
        </w:rPr>
      </w:pPr>
      <w:r w:rsidRPr="006C0C8F">
        <w:rPr>
          <w:color w:val="auto"/>
        </w:rPr>
        <w:t>2.1.3 (last two sentences)</w:t>
      </w:r>
    </w:p>
    <w:p w14:paraId="76AB6F01" w14:textId="77777777" w:rsidR="001B53D5" w:rsidRPr="006C0C8F" w:rsidRDefault="001B53D5" w:rsidP="006C0C8F">
      <w:pPr>
        <w:pStyle w:val="Bulletlist"/>
        <w:rPr>
          <w:color w:val="auto"/>
        </w:rPr>
      </w:pPr>
      <w:r w:rsidRPr="006C0C8F">
        <w:rPr>
          <w:color w:val="auto"/>
        </w:rPr>
        <w:t>4.5</w:t>
      </w:r>
    </w:p>
    <w:p w14:paraId="29CE7599" w14:textId="77777777" w:rsidR="001B53D5" w:rsidRPr="006C0C8F" w:rsidRDefault="001B53D5" w:rsidP="006C0C8F">
      <w:pPr>
        <w:jc w:val="both"/>
      </w:pPr>
      <w:r w:rsidRPr="006C0C8F">
        <w:t>The following paragraphs set out guidance in relation to technology use rather than ‘technical guidance’ as to how assessment should be undertaken and presented. It is suggested these references be moved/removed:</w:t>
      </w:r>
    </w:p>
    <w:p w14:paraId="70822859" w14:textId="74E02643" w:rsidR="001B53D5" w:rsidRPr="006C0C8F" w:rsidRDefault="001B53D5" w:rsidP="006C0C8F">
      <w:pPr>
        <w:pStyle w:val="Bulletlist"/>
        <w:rPr>
          <w:color w:val="auto"/>
        </w:rPr>
      </w:pPr>
      <w:r w:rsidRPr="006C0C8F">
        <w:rPr>
          <w:color w:val="auto"/>
        </w:rPr>
        <w:t xml:space="preserve">18 and 3.7 – The use of GIS to support assessment does not </w:t>
      </w:r>
      <w:r w:rsidRPr="006C0C8F">
        <w:rPr>
          <w:color w:val="auto"/>
          <w:u w:val="single"/>
        </w:rPr>
        <w:t>cause</w:t>
      </w:r>
      <w:r w:rsidRPr="006C0C8F">
        <w:rPr>
          <w:color w:val="auto"/>
        </w:rPr>
        <w:t xml:space="preserve"> complexity – that all depends on the way in which it is used. GIS is simply a system for the presentation of geographic information. It can be as simple or as complex as those behind a study choose to make it. It is fair to say that historically some GIS based assessments have been over-complex, but it is not the technology that has dictated that outcome and its use should not be discouraged. It is suggested that the guidance warns against over-complexity, but not against the use of GIS or any other technology/tool that may provide useful innovation.</w:t>
      </w:r>
    </w:p>
    <w:p w14:paraId="4C52E042" w14:textId="6FB69333" w:rsidR="001B53D5" w:rsidRPr="006C0C8F" w:rsidRDefault="001B53D5" w:rsidP="006C0C8F">
      <w:pPr>
        <w:pStyle w:val="Bulletlist"/>
        <w:rPr>
          <w:color w:val="auto"/>
        </w:rPr>
      </w:pPr>
      <w:r w:rsidRPr="006C0C8F">
        <w:rPr>
          <w:color w:val="auto"/>
        </w:rPr>
        <w:t xml:space="preserve">4.5 - The advice about file splitting for download is unnecessary. Councils will have their own protocols in place regarding the provision of information for accessibility and should follow this. </w:t>
      </w:r>
    </w:p>
    <w:p w14:paraId="22721C9E" w14:textId="77777777" w:rsidR="001B53D5" w:rsidRPr="006C0C8F" w:rsidRDefault="001B53D5" w:rsidP="006C0C8F">
      <w:pPr>
        <w:spacing w:after="0"/>
        <w:jc w:val="both"/>
        <w:rPr>
          <w:rFonts w:ascii="Montserrat" w:eastAsiaTheme="majorEastAsia" w:hAnsi="Montserrat" w:cstheme="majorBidi"/>
          <w:sz w:val="40"/>
          <w:szCs w:val="32"/>
        </w:rPr>
      </w:pPr>
      <w:r w:rsidRPr="006C0C8F">
        <w:br w:type="page"/>
      </w:r>
    </w:p>
    <w:p w14:paraId="0EC0AEAC" w14:textId="77777777" w:rsidR="001B53D5" w:rsidRPr="006C0C8F" w:rsidRDefault="001B53D5" w:rsidP="006C0C8F">
      <w:pPr>
        <w:pStyle w:val="Heading1"/>
      </w:pPr>
      <w:bookmarkStart w:id="19" w:name="_Toc48902209"/>
      <w:bookmarkStart w:id="20" w:name="_Toc48902673"/>
      <w:bookmarkStart w:id="21" w:name="_Toc48902758"/>
      <w:r w:rsidRPr="006C0C8F">
        <w:lastRenderedPageBreak/>
        <w:t>Theme D - Clarity and Tone</w:t>
      </w:r>
      <w:bookmarkEnd w:id="19"/>
      <w:bookmarkEnd w:id="20"/>
      <w:bookmarkEnd w:id="21"/>
    </w:p>
    <w:p w14:paraId="10F9A4B9" w14:textId="77777777" w:rsidR="001B53D5" w:rsidRPr="006C0C8F" w:rsidRDefault="001B53D5" w:rsidP="006C0C8F">
      <w:pPr>
        <w:pStyle w:val="Heading2"/>
        <w:jc w:val="both"/>
      </w:pPr>
      <w:bookmarkStart w:id="22" w:name="_Toc48902210"/>
      <w:r w:rsidRPr="006C0C8F">
        <w:t>Introduction</w:t>
      </w:r>
      <w:bookmarkEnd w:id="22"/>
    </w:p>
    <w:p w14:paraId="54311570" w14:textId="77777777" w:rsidR="001B53D5" w:rsidRPr="006C0C8F" w:rsidRDefault="001B53D5" w:rsidP="006C0C8F">
      <w:pPr>
        <w:jc w:val="both"/>
      </w:pPr>
      <w:r w:rsidRPr="006C0C8F">
        <w:t xml:space="preserve">The drafting could be improved to remove repetition, grammatical </w:t>
      </w:r>
      <w:proofErr w:type="gramStart"/>
      <w:r w:rsidRPr="006C0C8F">
        <w:t>errors</w:t>
      </w:r>
      <w:proofErr w:type="gramEnd"/>
      <w:r w:rsidRPr="006C0C8F">
        <w:t xml:space="preserve"> and unclear wording. The guidance also occasionally makes assumptions about the reader’s opinions and such assumptions should not form part of best practice guidance.</w:t>
      </w:r>
    </w:p>
    <w:p w14:paraId="7A10476B" w14:textId="77777777" w:rsidR="001B53D5" w:rsidRPr="006C0C8F" w:rsidRDefault="001B53D5" w:rsidP="006C0C8F">
      <w:pPr>
        <w:pStyle w:val="Heading2"/>
        <w:jc w:val="both"/>
      </w:pPr>
      <w:bookmarkStart w:id="23" w:name="_Toc48902211"/>
      <w:r w:rsidRPr="006C0C8F">
        <w:t>Comments</w:t>
      </w:r>
      <w:bookmarkEnd w:id="23"/>
    </w:p>
    <w:p w14:paraId="5D90DCFD" w14:textId="77777777" w:rsidR="001B53D5" w:rsidRPr="006C0C8F" w:rsidRDefault="001B53D5" w:rsidP="006C0C8F">
      <w:pPr>
        <w:jc w:val="both"/>
        <w:rPr>
          <w:lang w:val="en-US"/>
        </w:rPr>
      </w:pPr>
      <w:r w:rsidRPr="006C0C8F">
        <w:rPr>
          <w:lang w:val="en-US"/>
        </w:rPr>
        <w:t>Table 5.1 below suggests potential further revisions to improve clarity and remove repetition. It should be noted the suggested rewording provided in other sections of this document is made in addition and is not repeated here.</w:t>
      </w:r>
    </w:p>
    <w:p w14:paraId="197ABF56" w14:textId="77777777" w:rsidR="001B53D5" w:rsidRPr="006C0C8F" w:rsidRDefault="001B53D5" w:rsidP="006C0C8F">
      <w:pPr>
        <w:pStyle w:val="Caption"/>
        <w:ind w:left="0"/>
        <w:rPr>
          <w:rFonts w:ascii="Arial" w:hAnsi="Arial" w:cs="Arial"/>
          <w:b/>
          <w:bCs/>
          <w:color w:val="auto"/>
        </w:rPr>
      </w:pPr>
      <w:r w:rsidRPr="006C0C8F">
        <w:rPr>
          <w:rFonts w:ascii="Arial" w:hAnsi="Arial" w:cs="Arial"/>
          <w:b/>
          <w:bCs/>
          <w:color w:val="auto"/>
        </w:rPr>
        <w:t>Table 5.1 Suggested rewording</w:t>
      </w:r>
    </w:p>
    <w:tbl>
      <w:tblPr>
        <w:tblStyle w:val="SH1"/>
        <w:tblW w:w="9639" w:type="dxa"/>
        <w:tblLook w:val="04A0" w:firstRow="1" w:lastRow="0" w:firstColumn="1" w:lastColumn="0" w:noHBand="0" w:noVBand="1"/>
      </w:tblPr>
      <w:tblGrid>
        <w:gridCol w:w="928"/>
        <w:gridCol w:w="3041"/>
        <w:gridCol w:w="2467"/>
        <w:gridCol w:w="3203"/>
      </w:tblGrid>
      <w:tr w:rsidR="006C0C8F" w:rsidRPr="006C0C8F" w14:paraId="27365220" w14:textId="77777777" w:rsidTr="001B53D5">
        <w:trPr>
          <w:cnfStyle w:val="100000000000" w:firstRow="1" w:lastRow="0" w:firstColumn="0" w:lastColumn="0" w:oddVBand="0" w:evenVBand="0" w:oddHBand="0" w:evenHBand="0" w:firstRowFirstColumn="0" w:firstRowLastColumn="0" w:lastRowFirstColumn="0" w:lastRowLastColumn="0"/>
          <w:tblHeader/>
        </w:trPr>
        <w:tc>
          <w:tcPr>
            <w:tcW w:w="884" w:type="dxa"/>
            <w:tcBorders>
              <w:bottom w:val="single" w:sz="4" w:space="0" w:color="00B0F0"/>
            </w:tcBorders>
            <w:shd w:val="clear" w:color="auto" w:fill="00B0F0"/>
          </w:tcPr>
          <w:p w14:paraId="150B0F86" w14:textId="77777777" w:rsidR="001B53D5" w:rsidRPr="006C0C8F" w:rsidRDefault="001B53D5" w:rsidP="006C0C8F">
            <w:pPr>
              <w:pStyle w:val="Tablehead"/>
              <w:jc w:val="both"/>
              <w:rPr>
                <w:rFonts w:cs="Arial"/>
                <w:color w:val="auto"/>
              </w:rPr>
            </w:pPr>
            <w:r w:rsidRPr="006C0C8F">
              <w:rPr>
                <w:rFonts w:cs="Arial"/>
                <w:color w:val="auto"/>
              </w:rPr>
              <w:t>Para</w:t>
            </w:r>
          </w:p>
        </w:tc>
        <w:tc>
          <w:tcPr>
            <w:tcW w:w="3058" w:type="dxa"/>
            <w:tcBorders>
              <w:bottom w:val="single" w:sz="4" w:space="0" w:color="00B0F0"/>
            </w:tcBorders>
            <w:shd w:val="clear" w:color="auto" w:fill="00B0F0"/>
          </w:tcPr>
          <w:p w14:paraId="645F53E1" w14:textId="77777777" w:rsidR="001B53D5" w:rsidRPr="006C0C8F" w:rsidRDefault="001B53D5" w:rsidP="006C0C8F">
            <w:pPr>
              <w:pStyle w:val="Tablehead"/>
              <w:jc w:val="both"/>
              <w:rPr>
                <w:rFonts w:cs="Arial"/>
                <w:color w:val="auto"/>
              </w:rPr>
            </w:pPr>
            <w:r w:rsidRPr="006C0C8F">
              <w:rPr>
                <w:rFonts w:cs="Arial"/>
                <w:color w:val="auto"/>
              </w:rPr>
              <w:t>Wording</w:t>
            </w:r>
          </w:p>
          <w:p w14:paraId="3821D487" w14:textId="77777777" w:rsidR="001B53D5" w:rsidRPr="006C0C8F" w:rsidRDefault="001B53D5" w:rsidP="006C0C8F">
            <w:pPr>
              <w:pStyle w:val="Tablehead"/>
              <w:jc w:val="both"/>
              <w:rPr>
                <w:rFonts w:cs="Arial"/>
                <w:color w:val="auto"/>
              </w:rPr>
            </w:pPr>
          </w:p>
        </w:tc>
        <w:tc>
          <w:tcPr>
            <w:tcW w:w="2476" w:type="dxa"/>
            <w:tcBorders>
              <w:bottom w:val="single" w:sz="4" w:space="0" w:color="00B0F0"/>
            </w:tcBorders>
            <w:shd w:val="clear" w:color="auto" w:fill="00B0F0"/>
          </w:tcPr>
          <w:p w14:paraId="04E30734" w14:textId="77777777" w:rsidR="001B53D5" w:rsidRPr="006C0C8F" w:rsidRDefault="001B53D5" w:rsidP="006C0C8F">
            <w:pPr>
              <w:pStyle w:val="Tablehead"/>
              <w:jc w:val="both"/>
              <w:rPr>
                <w:rFonts w:cs="Arial"/>
                <w:color w:val="auto"/>
              </w:rPr>
            </w:pPr>
            <w:r w:rsidRPr="006C0C8F">
              <w:rPr>
                <w:rFonts w:cs="Arial"/>
                <w:color w:val="auto"/>
              </w:rPr>
              <w:t>Suggested</w:t>
            </w:r>
          </w:p>
        </w:tc>
        <w:tc>
          <w:tcPr>
            <w:tcW w:w="3221" w:type="dxa"/>
            <w:tcBorders>
              <w:bottom w:val="single" w:sz="4" w:space="0" w:color="00B0F0"/>
            </w:tcBorders>
            <w:shd w:val="clear" w:color="auto" w:fill="00B0F0"/>
          </w:tcPr>
          <w:p w14:paraId="1498064C" w14:textId="77777777" w:rsidR="001B53D5" w:rsidRPr="006C0C8F" w:rsidRDefault="001B53D5" w:rsidP="006C0C8F">
            <w:pPr>
              <w:pStyle w:val="Tablehead"/>
              <w:jc w:val="both"/>
              <w:rPr>
                <w:rFonts w:cs="Arial"/>
                <w:color w:val="auto"/>
              </w:rPr>
            </w:pPr>
            <w:r w:rsidRPr="006C0C8F">
              <w:rPr>
                <w:rFonts w:cs="Arial"/>
                <w:color w:val="auto"/>
              </w:rPr>
              <w:t>Reason</w:t>
            </w:r>
          </w:p>
        </w:tc>
      </w:tr>
      <w:tr w:rsidR="006C0C8F" w:rsidRPr="006C0C8F" w14:paraId="665D2AD4" w14:textId="77777777" w:rsidTr="001B53D5">
        <w:tc>
          <w:tcPr>
            <w:tcW w:w="884" w:type="dxa"/>
            <w:tcBorders>
              <w:top w:val="single" w:sz="4" w:space="0" w:color="00B0F0"/>
              <w:bottom w:val="single" w:sz="4" w:space="0" w:color="00B0F0"/>
              <w:right w:val="single" w:sz="4" w:space="0" w:color="00B0F0"/>
            </w:tcBorders>
          </w:tcPr>
          <w:p w14:paraId="69F95829"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9</w:t>
            </w:r>
          </w:p>
        </w:tc>
        <w:tc>
          <w:tcPr>
            <w:tcW w:w="3058" w:type="dxa"/>
            <w:tcBorders>
              <w:top w:val="single" w:sz="4" w:space="0" w:color="00B0F0"/>
              <w:left w:val="single" w:sz="4" w:space="0" w:color="00B0F0"/>
              <w:bottom w:val="single" w:sz="4" w:space="0" w:color="00B0F0"/>
              <w:right w:val="single" w:sz="4" w:space="0" w:color="00B0F0"/>
            </w:tcBorders>
          </w:tcPr>
          <w:p w14:paraId="1DB80220"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“...or consulting a sensitivity study…”</w:t>
            </w:r>
          </w:p>
          <w:p w14:paraId="37364850" w14:textId="77777777" w:rsidR="001B53D5" w:rsidRPr="006C0C8F" w:rsidRDefault="001B53D5" w:rsidP="00A572D2">
            <w:pPr>
              <w:pStyle w:val="Tablebody"/>
              <w:spacing w:before="240"/>
              <w:jc w:val="both"/>
              <w:rPr>
                <w:rFonts w:ascii="Arial" w:hAnsi="Arial" w:cs="Arial"/>
                <w:color w:val="auto"/>
              </w:rPr>
            </w:pPr>
          </w:p>
        </w:tc>
        <w:tc>
          <w:tcPr>
            <w:tcW w:w="2476" w:type="dxa"/>
            <w:tcBorders>
              <w:top w:val="single" w:sz="4" w:space="0" w:color="00B0F0"/>
              <w:left w:val="single" w:sz="4" w:space="0" w:color="00B0F0"/>
              <w:bottom w:val="single" w:sz="4" w:space="0" w:color="00B0F0"/>
              <w:right w:val="single" w:sz="4" w:space="0" w:color="00B0F0"/>
            </w:tcBorders>
          </w:tcPr>
          <w:p w14:paraId="3880F1DD"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...or consulting on a sensitivity study…</w:t>
            </w:r>
          </w:p>
          <w:p w14:paraId="45CB8C18" w14:textId="77777777" w:rsidR="001B53D5" w:rsidRPr="006C0C8F" w:rsidRDefault="001B53D5" w:rsidP="00A572D2">
            <w:pPr>
              <w:pStyle w:val="Tablebody"/>
              <w:spacing w:before="240"/>
              <w:jc w:val="both"/>
              <w:rPr>
                <w:rFonts w:ascii="Arial" w:hAnsi="Arial" w:cs="Arial"/>
                <w:color w:val="auto"/>
              </w:rPr>
            </w:pPr>
          </w:p>
        </w:tc>
        <w:tc>
          <w:tcPr>
            <w:tcW w:w="3221" w:type="dxa"/>
            <w:tcBorders>
              <w:top w:val="single" w:sz="4" w:space="0" w:color="00B0F0"/>
              <w:left w:val="single" w:sz="4" w:space="0" w:color="00B0F0"/>
              <w:bottom w:val="single" w:sz="4" w:space="0" w:color="00B0F0"/>
            </w:tcBorders>
          </w:tcPr>
          <w:p w14:paraId="2CCA4245"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Grammar</w:t>
            </w:r>
          </w:p>
        </w:tc>
      </w:tr>
      <w:tr w:rsidR="006C0C8F" w:rsidRPr="006C0C8F" w14:paraId="5668CAE1" w14:textId="77777777" w:rsidTr="001B53D5">
        <w:trPr>
          <w:trHeight w:val="233"/>
        </w:trPr>
        <w:tc>
          <w:tcPr>
            <w:tcW w:w="884" w:type="dxa"/>
            <w:tcBorders>
              <w:top w:val="single" w:sz="4" w:space="0" w:color="00B0F0"/>
              <w:bottom w:val="single" w:sz="4" w:space="0" w:color="00B0F0"/>
              <w:right w:val="single" w:sz="4" w:space="0" w:color="00B0F0"/>
            </w:tcBorders>
          </w:tcPr>
          <w:p w14:paraId="1F40F816"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18</w:t>
            </w:r>
          </w:p>
        </w:tc>
        <w:tc>
          <w:tcPr>
            <w:tcW w:w="3058" w:type="dxa"/>
            <w:tcBorders>
              <w:top w:val="single" w:sz="4" w:space="0" w:color="00B0F0"/>
              <w:left w:val="single" w:sz="4" w:space="0" w:color="00B0F0"/>
              <w:bottom w:val="single" w:sz="4" w:space="0" w:color="00B0F0"/>
              <w:right w:val="single" w:sz="4" w:space="0" w:color="00B0F0"/>
            </w:tcBorders>
          </w:tcPr>
          <w:p w14:paraId="1A7A1B24"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“It is difficult to overstate the importance of clear explanations of how the judgements were made in a sensitivity study.”</w:t>
            </w:r>
          </w:p>
        </w:tc>
        <w:tc>
          <w:tcPr>
            <w:tcW w:w="2476" w:type="dxa"/>
            <w:tcBorders>
              <w:top w:val="single" w:sz="4" w:space="0" w:color="00B0F0"/>
              <w:left w:val="single" w:sz="4" w:space="0" w:color="00B0F0"/>
              <w:bottom w:val="single" w:sz="4" w:space="0" w:color="00B0F0"/>
              <w:right w:val="single" w:sz="4" w:space="0" w:color="00B0F0"/>
            </w:tcBorders>
          </w:tcPr>
          <w:p w14:paraId="597001ED"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Clear explanations of how the judgements were made in a sensitivity study must be provided.</w:t>
            </w:r>
          </w:p>
        </w:tc>
        <w:tc>
          <w:tcPr>
            <w:tcW w:w="3221" w:type="dxa"/>
            <w:tcBorders>
              <w:top w:val="single" w:sz="4" w:space="0" w:color="00B0F0"/>
              <w:left w:val="single" w:sz="4" w:space="0" w:color="00B0F0"/>
              <w:bottom w:val="single" w:sz="4" w:space="0" w:color="00B0F0"/>
            </w:tcBorders>
          </w:tcPr>
          <w:p w14:paraId="3906D6BC"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Tone</w:t>
            </w:r>
          </w:p>
        </w:tc>
      </w:tr>
      <w:tr w:rsidR="006C0C8F" w:rsidRPr="006C0C8F" w14:paraId="7320C2FC" w14:textId="77777777" w:rsidTr="001B53D5">
        <w:trPr>
          <w:trHeight w:val="233"/>
        </w:trPr>
        <w:tc>
          <w:tcPr>
            <w:tcW w:w="884" w:type="dxa"/>
            <w:tcBorders>
              <w:top w:val="single" w:sz="4" w:space="0" w:color="00B0F0"/>
              <w:bottom w:val="single" w:sz="4" w:space="0" w:color="00B0F0"/>
              <w:right w:val="single" w:sz="4" w:space="0" w:color="00B0F0"/>
            </w:tcBorders>
          </w:tcPr>
          <w:p w14:paraId="0D3BF8C0"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 xml:space="preserve">2.1.1 </w:t>
            </w:r>
          </w:p>
        </w:tc>
        <w:tc>
          <w:tcPr>
            <w:tcW w:w="3058" w:type="dxa"/>
            <w:tcBorders>
              <w:top w:val="single" w:sz="4" w:space="0" w:color="00B0F0"/>
              <w:left w:val="single" w:sz="4" w:space="0" w:color="00B0F0"/>
              <w:bottom w:val="single" w:sz="4" w:space="0" w:color="00B0F0"/>
              <w:right w:val="single" w:sz="4" w:space="0" w:color="00B0F0"/>
            </w:tcBorders>
          </w:tcPr>
          <w:p w14:paraId="50C29D83"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“need stated.”</w:t>
            </w:r>
          </w:p>
        </w:tc>
        <w:tc>
          <w:tcPr>
            <w:tcW w:w="2476" w:type="dxa"/>
            <w:tcBorders>
              <w:top w:val="single" w:sz="4" w:space="0" w:color="00B0F0"/>
              <w:left w:val="single" w:sz="4" w:space="0" w:color="00B0F0"/>
              <w:bottom w:val="single" w:sz="4" w:space="0" w:color="00B0F0"/>
              <w:right w:val="single" w:sz="4" w:space="0" w:color="00B0F0"/>
            </w:tcBorders>
          </w:tcPr>
          <w:p w14:paraId="55219A88"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should be stated.</w:t>
            </w:r>
          </w:p>
        </w:tc>
        <w:tc>
          <w:tcPr>
            <w:tcW w:w="3221" w:type="dxa"/>
            <w:tcBorders>
              <w:top w:val="single" w:sz="4" w:space="0" w:color="00B0F0"/>
              <w:left w:val="single" w:sz="4" w:space="0" w:color="00B0F0"/>
              <w:bottom w:val="single" w:sz="4" w:space="0" w:color="00B0F0"/>
            </w:tcBorders>
          </w:tcPr>
          <w:p w14:paraId="05323B7C"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Grammar</w:t>
            </w:r>
          </w:p>
        </w:tc>
      </w:tr>
      <w:tr w:rsidR="006C0C8F" w:rsidRPr="006C0C8F" w14:paraId="04EA90F4" w14:textId="77777777" w:rsidTr="001B53D5">
        <w:trPr>
          <w:trHeight w:val="233"/>
        </w:trPr>
        <w:tc>
          <w:tcPr>
            <w:tcW w:w="884" w:type="dxa"/>
            <w:tcBorders>
              <w:top w:val="single" w:sz="4" w:space="0" w:color="00B0F0"/>
              <w:bottom w:val="single" w:sz="4" w:space="0" w:color="00B0F0"/>
              <w:right w:val="single" w:sz="4" w:space="0" w:color="00B0F0"/>
            </w:tcBorders>
          </w:tcPr>
          <w:p w14:paraId="4AE52D90"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 xml:space="preserve">2.2.2 </w:t>
            </w:r>
          </w:p>
        </w:tc>
        <w:tc>
          <w:tcPr>
            <w:tcW w:w="3058" w:type="dxa"/>
            <w:tcBorders>
              <w:top w:val="single" w:sz="4" w:space="0" w:color="00B0F0"/>
              <w:left w:val="single" w:sz="4" w:space="0" w:color="00B0F0"/>
              <w:bottom w:val="single" w:sz="4" w:space="0" w:color="00B0F0"/>
              <w:right w:val="single" w:sz="4" w:space="0" w:color="00B0F0"/>
            </w:tcBorders>
          </w:tcPr>
          <w:p w14:paraId="5511DC6E"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“The relevant Landscape Character Assessment will always be the basis …”</w:t>
            </w:r>
          </w:p>
        </w:tc>
        <w:tc>
          <w:tcPr>
            <w:tcW w:w="2476" w:type="dxa"/>
            <w:tcBorders>
              <w:top w:val="single" w:sz="4" w:space="0" w:color="00B0F0"/>
              <w:left w:val="single" w:sz="4" w:space="0" w:color="00B0F0"/>
              <w:bottom w:val="single" w:sz="4" w:space="0" w:color="00B0F0"/>
              <w:right w:val="single" w:sz="4" w:space="0" w:color="00B0F0"/>
            </w:tcBorders>
          </w:tcPr>
          <w:p w14:paraId="2942501D"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Change ‘always’ to ‘usually’.</w:t>
            </w:r>
          </w:p>
        </w:tc>
        <w:tc>
          <w:tcPr>
            <w:tcW w:w="3221" w:type="dxa"/>
            <w:tcBorders>
              <w:top w:val="single" w:sz="4" w:space="0" w:color="00B0F0"/>
              <w:left w:val="single" w:sz="4" w:space="0" w:color="00B0F0"/>
              <w:bottom w:val="single" w:sz="4" w:space="0" w:color="00B0F0"/>
            </w:tcBorders>
          </w:tcPr>
          <w:p w14:paraId="70082E71"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The guidance sets out some situations in which the LCA might not be used.</w:t>
            </w:r>
          </w:p>
        </w:tc>
      </w:tr>
      <w:tr w:rsidR="006C0C8F" w:rsidRPr="006C0C8F" w14:paraId="6ADFDA89" w14:textId="77777777" w:rsidTr="001B53D5">
        <w:trPr>
          <w:trHeight w:val="233"/>
        </w:trPr>
        <w:tc>
          <w:tcPr>
            <w:tcW w:w="884" w:type="dxa"/>
            <w:tcBorders>
              <w:top w:val="single" w:sz="4" w:space="0" w:color="00B0F0"/>
              <w:bottom w:val="single" w:sz="4" w:space="0" w:color="00B0F0"/>
              <w:right w:val="single" w:sz="4" w:space="0" w:color="00B0F0"/>
            </w:tcBorders>
          </w:tcPr>
          <w:p w14:paraId="35C78355"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2.3.6</w:t>
            </w:r>
          </w:p>
        </w:tc>
        <w:tc>
          <w:tcPr>
            <w:tcW w:w="3058" w:type="dxa"/>
            <w:tcBorders>
              <w:top w:val="single" w:sz="4" w:space="0" w:color="00B0F0"/>
              <w:left w:val="single" w:sz="4" w:space="0" w:color="00B0F0"/>
              <w:bottom w:val="single" w:sz="4" w:space="0" w:color="00B0F0"/>
              <w:right w:val="single" w:sz="4" w:space="0" w:color="00B0F0"/>
            </w:tcBorders>
          </w:tcPr>
          <w:p w14:paraId="4206318A"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“Being visible does not …”</w:t>
            </w:r>
          </w:p>
        </w:tc>
        <w:tc>
          <w:tcPr>
            <w:tcW w:w="2476" w:type="dxa"/>
            <w:tcBorders>
              <w:top w:val="single" w:sz="4" w:space="0" w:color="00B0F0"/>
              <w:left w:val="single" w:sz="4" w:space="0" w:color="00B0F0"/>
              <w:bottom w:val="single" w:sz="4" w:space="0" w:color="00B0F0"/>
              <w:right w:val="single" w:sz="4" w:space="0" w:color="00B0F0"/>
            </w:tcBorders>
          </w:tcPr>
          <w:p w14:paraId="02A756ED"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Potential visibility of the development or change does not ...</w:t>
            </w:r>
          </w:p>
        </w:tc>
        <w:tc>
          <w:tcPr>
            <w:tcW w:w="3221" w:type="dxa"/>
            <w:tcBorders>
              <w:top w:val="single" w:sz="4" w:space="0" w:color="00B0F0"/>
              <w:left w:val="single" w:sz="4" w:space="0" w:color="00B0F0"/>
              <w:bottom w:val="single" w:sz="4" w:space="0" w:color="00B0F0"/>
            </w:tcBorders>
          </w:tcPr>
          <w:p w14:paraId="68BE62C4"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Clarity</w:t>
            </w:r>
          </w:p>
        </w:tc>
      </w:tr>
      <w:tr w:rsidR="006C0C8F" w:rsidRPr="006C0C8F" w14:paraId="28292352" w14:textId="77777777" w:rsidTr="001B53D5">
        <w:trPr>
          <w:trHeight w:val="233"/>
        </w:trPr>
        <w:tc>
          <w:tcPr>
            <w:tcW w:w="884" w:type="dxa"/>
            <w:tcBorders>
              <w:top w:val="single" w:sz="4" w:space="0" w:color="00B0F0"/>
              <w:bottom w:val="single" w:sz="4" w:space="0" w:color="00B0F0"/>
              <w:right w:val="single" w:sz="4" w:space="0" w:color="00B0F0"/>
            </w:tcBorders>
          </w:tcPr>
          <w:p w14:paraId="28CFA8BD"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Figure 5</w:t>
            </w:r>
          </w:p>
        </w:tc>
        <w:tc>
          <w:tcPr>
            <w:tcW w:w="3058" w:type="dxa"/>
            <w:tcBorders>
              <w:top w:val="single" w:sz="4" w:space="0" w:color="00B0F0"/>
              <w:left w:val="single" w:sz="4" w:space="0" w:color="00B0F0"/>
              <w:bottom w:val="single" w:sz="4" w:space="0" w:color="00B0F0"/>
              <w:right w:val="single" w:sz="4" w:space="0" w:color="00B0F0"/>
            </w:tcBorders>
          </w:tcPr>
          <w:p w14:paraId="418934F3"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NWCN</w:t>
            </w:r>
          </w:p>
        </w:tc>
        <w:tc>
          <w:tcPr>
            <w:tcW w:w="2476" w:type="dxa"/>
            <w:tcBorders>
              <w:top w:val="single" w:sz="4" w:space="0" w:color="00B0F0"/>
              <w:left w:val="single" w:sz="4" w:space="0" w:color="00B0F0"/>
              <w:bottom w:val="single" w:sz="4" w:space="0" w:color="00B0F0"/>
              <w:right w:val="single" w:sz="4" w:space="0" w:color="00B0F0"/>
            </w:tcBorders>
          </w:tcPr>
          <w:p w14:paraId="47C12365"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Set out in full</w:t>
            </w:r>
          </w:p>
        </w:tc>
        <w:tc>
          <w:tcPr>
            <w:tcW w:w="3221" w:type="dxa"/>
            <w:tcBorders>
              <w:top w:val="single" w:sz="4" w:space="0" w:color="00B0F0"/>
              <w:left w:val="single" w:sz="4" w:space="0" w:color="00B0F0"/>
              <w:bottom w:val="single" w:sz="4" w:space="0" w:color="00B0F0"/>
            </w:tcBorders>
          </w:tcPr>
          <w:p w14:paraId="5777C0B7"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This is not a familiar acronym to all readers.</w:t>
            </w:r>
          </w:p>
        </w:tc>
      </w:tr>
      <w:tr w:rsidR="006C0C8F" w:rsidRPr="006C0C8F" w14:paraId="0D3D5665" w14:textId="77777777" w:rsidTr="001B53D5">
        <w:trPr>
          <w:trHeight w:val="233"/>
        </w:trPr>
        <w:tc>
          <w:tcPr>
            <w:tcW w:w="884" w:type="dxa"/>
            <w:tcBorders>
              <w:top w:val="single" w:sz="4" w:space="0" w:color="00B0F0"/>
              <w:bottom w:val="single" w:sz="4" w:space="0" w:color="00B0F0"/>
              <w:right w:val="single" w:sz="4" w:space="0" w:color="00B0F0"/>
            </w:tcBorders>
          </w:tcPr>
          <w:p w14:paraId="4D3CB769"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 xml:space="preserve">Figure 3 </w:t>
            </w:r>
          </w:p>
          <w:p w14:paraId="2D5520F2" w14:textId="77777777" w:rsidR="001B53D5" w:rsidRPr="006C0C8F" w:rsidRDefault="001B53D5" w:rsidP="00A572D2">
            <w:pPr>
              <w:pStyle w:val="Tablebody"/>
              <w:jc w:val="both"/>
              <w:rPr>
                <w:rFonts w:ascii="Arial" w:hAnsi="Arial" w:cs="Arial"/>
                <w:color w:val="auto"/>
              </w:rPr>
            </w:pPr>
          </w:p>
          <w:p w14:paraId="35DDA9AC" w14:textId="77777777" w:rsidR="001B53D5" w:rsidRPr="006C0C8F" w:rsidRDefault="001B53D5" w:rsidP="00A572D2">
            <w:pPr>
              <w:pStyle w:val="Tablebody"/>
              <w:jc w:val="both"/>
              <w:rPr>
                <w:rFonts w:ascii="Arial" w:hAnsi="Arial" w:cs="Arial"/>
                <w:color w:val="auto"/>
              </w:rPr>
            </w:pPr>
          </w:p>
          <w:p w14:paraId="13C30973"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2.3.7</w:t>
            </w:r>
          </w:p>
          <w:p w14:paraId="3C4E2BB6" w14:textId="77777777" w:rsidR="001B53D5" w:rsidRPr="006C0C8F" w:rsidRDefault="001B53D5" w:rsidP="00A572D2">
            <w:pPr>
              <w:pStyle w:val="Tablebody"/>
              <w:jc w:val="both"/>
              <w:rPr>
                <w:rFonts w:ascii="Arial" w:hAnsi="Arial" w:cs="Arial"/>
                <w:color w:val="auto"/>
              </w:rPr>
            </w:pPr>
          </w:p>
          <w:p w14:paraId="1DEFC208" w14:textId="77777777" w:rsidR="001B53D5" w:rsidRPr="006C0C8F" w:rsidRDefault="001B53D5" w:rsidP="00A572D2">
            <w:pPr>
              <w:pStyle w:val="Tablebody"/>
              <w:jc w:val="both"/>
              <w:rPr>
                <w:rFonts w:ascii="Arial" w:hAnsi="Arial" w:cs="Arial"/>
                <w:color w:val="auto"/>
              </w:rPr>
            </w:pPr>
          </w:p>
          <w:p w14:paraId="11F36960"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2.3.8</w:t>
            </w:r>
          </w:p>
          <w:p w14:paraId="421E51C1" w14:textId="77777777" w:rsidR="001B53D5" w:rsidRPr="006C0C8F" w:rsidRDefault="001B53D5" w:rsidP="00A572D2">
            <w:pPr>
              <w:pStyle w:val="Tablebody"/>
              <w:jc w:val="both"/>
              <w:rPr>
                <w:rFonts w:ascii="Arial" w:hAnsi="Arial" w:cs="Arial"/>
                <w:color w:val="auto"/>
              </w:rPr>
            </w:pPr>
          </w:p>
        </w:tc>
        <w:tc>
          <w:tcPr>
            <w:tcW w:w="3058" w:type="dxa"/>
            <w:tcBorders>
              <w:top w:val="single" w:sz="4" w:space="0" w:color="00B0F0"/>
              <w:left w:val="single" w:sz="4" w:space="0" w:color="00B0F0"/>
              <w:bottom w:val="single" w:sz="4" w:space="0" w:color="00B0F0"/>
              <w:right w:val="single" w:sz="4" w:space="0" w:color="00B0F0"/>
            </w:tcBorders>
          </w:tcPr>
          <w:p w14:paraId="203336B3"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“…known values”</w:t>
            </w:r>
          </w:p>
          <w:p w14:paraId="67C645D8" w14:textId="77777777" w:rsidR="001B53D5" w:rsidRPr="006C0C8F" w:rsidRDefault="001B53D5" w:rsidP="00A572D2">
            <w:pPr>
              <w:pStyle w:val="Tablebody"/>
              <w:jc w:val="both"/>
              <w:rPr>
                <w:rFonts w:ascii="Arial" w:hAnsi="Arial" w:cs="Arial"/>
                <w:color w:val="auto"/>
              </w:rPr>
            </w:pPr>
          </w:p>
          <w:p w14:paraId="3C7260FC" w14:textId="31913F9F" w:rsidR="001B53D5" w:rsidRDefault="001B53D5" w:rsidP="00A572D2">
            <w:pPr>
              <w:pStyle w:val="Tablebody"/>
              <w:jc w:val="both"/>
              <w:rPr>
                <w:rFonts w:ascii="Arial" w:hAnsi="Arial" w:cs="Arial"/>
                <w:color w:val="auto"/>
              </w:rPr>
            </w:pPr>
          </w:p>
          <w:p w14:paraId="2C42806B" w14:textId="77777777" w:rsidR="00A572D2" w:rsidRPr="006C0C8F" w:rsidRDefault="00A572D2" w:rsidP="00A572D2">
            <w:pPr>
              <w:pStyle w:val="Tablebody"/>
              <w:jc w:val="both"/>
              <w:rPr>
                <w:rFonts w:ascii="Arial" w:hAnsi="Arial" w:cs="Arial"/>
                <w:color w:val="auto"/>
              </w:rPr>
            </w:pPr>
          </w:p>
          <w:p w14:paraId="0AFF8482"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 xml:space="preserve">“… and other </w:t>
            </w:r>
            <w:proofErr w:type="spellStart"/>
            <w:r w:rsidRPr="006C0C8F">
              <w:rPr>
                <w:rFonts w:ascii="Arial" w:hAnsi="Arial" w:cs="Arial"/>
                <w:color w:val="auto"/>
              </w:rPr>
              <w:t>recognised</w:t>
            </w:r>
            <w:proofErr w:type="spellEnd"/>
            <w:r w:rsidRPr="006C0C8F">
              <w:rPr>
                <w:rFonts w:ascii="Arial" w:hAnsi="Arial" w:cs="Arial"/>
                <w:color w:val="auto"/>
              </w:rPr>
              <w:t xml:space="preserve"> values.”</w:t>
            </w:r>
          </w:p>
          <w:p w14:paraId="078B245B" w14:textId="77777777" w:rsidR="001B53D5" w:rsidRPr="006C0C8F" w:rsidRDefault="001B53D5" w:rsidP="00A572D2">
            <w:pPr>
              <w:pStyle w:val="Tablebody"/>
              <w:jc w:val="both"/>
              <w:rPr>
                <w:rFonts w:ascii="Arial" w:hAnsi="Arial" w:cs="Arial"/>
                <w:color w:val="auto"/>
              </w:rPr>
            </w:pPr>
          </w:p>
          <w:p w14:paraId="7FFE6237"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“Other values….”</w:t>
            </w:r>
          </w:p>
        </w:tc>
        <w:tc>
          <w:tcPr>
            <w:tcW w:w="2476" w:type="dxa"/>
            <w:tcBorders>
              <w:top w:val="single" w:sz="4" w:space="0" w:color="00B0F0"/>
              <w:left w:val="single" w:sz="4" w:space="0" w:color="00B0F0"/>
              <w:bottom w:val="single" w:sz="4" w:space="0" w:color="00B0F0"/>
              <w:right w:val="single" w:sz="4" w:space="0" w:color="00B0F0"/>
            </w:tcBorders>
          </w:tcPr>
          <w:p w14:paraId="5D0AC9CC"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w:t>
            </w:r>
            <w:proofErr w:type="spellStart"/>
            <w:r w:rsidRPr="006C0C8F">
              <w:rPr>
                <w:rFonts w:ascii="Arial" w:hAnsi="Arial" w:cs="Arial"/>
                <w:color w:val="auto"/>
              </w:rPr>
              <w:t>recognised</w:t>
            </w:r>
            <w:proofErr w:type="spellEnd"/>
            <w:r w:rsidRPr="006C0C8F">
              <w:rPr>
                <w:rFonts w:ascii="Arial" w:hAnsi="Arial" w:cs="Arial"/>
                <w:color w:val="auto"/>
              </w:rPr>
              <w:t xml:space="preserve"> indicators of value</w:t>
            </w:r>
          </w:p>
          <w:p w14:paraId="01EC6DA8" w14:textId="77777777" w:rsidR="001B53D5" w:rsidRPr="006C0C8F" w:rsidRDefault="001B53D5" w:rsidP="00A572D2">
            <w:pPr>
              <w:pStyle w:val="Tablebody"/>
              <w:jc w:val="both"/>
              <w:rPr>
                <w:rFonts w:ascii="Arial" w:hAnsi="Arial" w:cs="Arial"/>
                <w:color w:val="auto"/>
              </w:rPr>
            </w:pPr>
          </w:p>
          <w:p w14:paraId="663771A3"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 and other indicators of landscape value.</w:t>
            </w:r>
          </w:p>
          <w:p w14:paraId="780F6F7A" w14:textId="77777777" w:rsidR="001B53D5" w:rsidRPr="006C0C8F" w:rsidRDefault="001B53D5" w:rsidP="00A572D2">
            <w:pPr>
              <w:pStyle w:val="Tablebody"/>
              <w:jc w:val="both"/>
              <w:rPr>
                <w:rFonts w:ascii="Arial" w:hAnsi="Arial" w:cs="Arial"/>
                <w:color w:val="auto"/>
              </w:rPr>
            </w:pPr>
          </w:p>
          <w:p w14:paraId="0334966E"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Other value indicators …</w:t>
            </w:r>
          </w:p>
        </w:tc>
        <w:tc>
          <w:tcPr>
            <w:tcW w:w="3221" w:type="dxa"/>
            <w:tcBorders>
              <w:top w:val="single" w:sz="4" w:space="0" w:color="00B0F0"/>
              <w:left w:val="single" w:sz="4" w:space="0" w:color="00B0F0"/>
              <w:bottom w:val="single" w:sz="4" w:space="0" w:color="00B0F0"/>
            </w:tcBorders>
          </w:tcPr>
          <w:p w14:paraId="137BBE39" w14:textId="77777777" w:rsidR="001B53D5" w:rsidRPr="006C0C8F" w:rsidRDefault="001B53D5" w:rsidP="00A572D2">
            <w:pPr>
              <w:pStyle w:val="Tablebody"/>
              <w:jc w:val="both"/>
              <w:rPr>
                <w:rFonts w:ascii="Arial" w:hAnsi="Arial" w:cs="Arial"/>
                <w:color w:val="auto"/>
              </w:rPr>
            </w:pPr>
            <w:r w:rsidRPr="006C0C8F">
              <w:rPr>
                <w:rFonts w:ascii="Arial" w:hAnsi="Arial" w:cs="Arial"/>
                <w:color w:val="auto"/>
              </w:rPr>
              <w:t>Grammar</w:t>
            </w:r>
          </w:p>
        </w:tc>
      </w:tr>
      <w:tr w:rsidR="006C0C8F" w:rsidRPr="006C0C8F" w14:paraId="101220CF" w14:textId="77777777" w:rsidTr="001B53D5">
        <w:trPr>
          <w:trHeight w:val="233"/>
        </w:trPr>
        <w:tc>
          <w:tcPr>
            <w:tcW w:w="884" w:type="dxa"/>
            <w:tcBorders>
              <w:top w:val="single" w:sz="4" w:space="0" w:color="00B0F0"/>
              <w:bottom w:val="single" w:sz="4" w:space="0" w:color="00B0F0"/>
              <w:right w:val="single" w:sz="4" w:space="0" w:color="00B0F0"/>
            </w:tcBorders>
          </w:tcPr>
          <w:p w14:paraId="05282854"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2.3.8</w:t>
            </w:r>
          </w:p>
        </w:tc>
        <w:tc>
          <w:tcPr>
            <w:tcW w:w="3058" w:type="dxa"/>
            <w:tcBorders>
              <w:top w:val="single" w:sz="4" w:space="0" w:color="00B0F0"/>
              <w:left w:val="single" w:sz="4" w:space="0" w:color="00B0F0"/>
              <w:bottom w:val="single" w:sz="4" w:space="0" w:color="00B0F0"/>
              <w:right w:val="single" w:sz="4" w:space="0" w:color="00B0F0"/>
            </w:tcBorders>
          </w:tcPr>
          <w:p w14:paraId="709FC480"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First line</w:t>
            </w:r>
          </w:p>
        </w:tc>
        <w:tc>
          <w:tcPr>
            <w:tcW w:w="2476" w:type="dxa"/>
            <w:tcBorders>
              <w:top w:val="single" w:sz="4" w:space="0" w:color="00B0F0"/>
              <w:left w:val="single" w:sz="4" w:space="0" w:color="00B0F0"/>
              <w:bottom w:val="single" w:sz="4" w:space="0" w:color="00B0F0"/>
              <w:right w:val="single" w:sz="4" w:space="0" w:color="00B0F0"/>
            </w:tcBorders>
          </w:tcPr>
          <w:p w14:paraId="3C426639"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Remove one of the two references to fig 5</w:t>
            </w:r>
          </w:p>
        </w:tc>
        <w:tc>
          <w:tcPr>
            <w:tcW w:w="3221" w:type="dxa"/>
            <w:tcBorders>
              <w:top w:val="single" w:sz="4" w:space="0" w:color="00B0F0"/>
              <w:left w:val="single" w:sz="4" w:space="0" w:color="00B0F0"/>
              <w:bottom w:val="single" w:sz="4" w:space="0" w:color="00B0F0"/>
            </w:tcBorders>
          </w:tcPr>
          <w:p w14:paraId="5A587F22"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Repetition</w:t>
            </w:r>
          </w:p>
        </w:tc>
      </w:tr>
      <w:tr w:rsidR="006C0C8F" w:rsidRPr="006C0C8F" w14:paraId="3077AA4B" w14:textId="77777777" w:rsidTr="00A572D2">
        <w:trPr>
          <w:trHeight w:val="1017"/>
        </w:trPr>
        <w:tc>
          <w:tcPr>
            <w:tcW w:w="884" w:type="dxa"/>
            <w:tcBorders>
              <w:top w:val="single" w:sz="4" w:space="0" w:color="00B0F0"/>
              <w:bottom w:val="single" w:sz="4" w:space="0" w:color="00B0F0"/>
              <w:right w:val="single" w:sz="4" w:space="0" w:color="00B0F0"/>
            </w:tcBorders>
          </w:tcPr>
          <w:p w14:paraId="2281566E"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2.3.10</w:t>
            </w:r>
          </w:p>
          <w:p w14:paraId="56DD7A66" w14:textId="77777777" w:rsidR="001B53D5" w:rsidRPr="006C0C8F" w:rsidRDefault="001B53D5" w:rsidP="00A572D2">
            <w:pPr>
              <w:pStyle w:val="Tablebody"/>
              <w:spacing w:before="240"/>
              <w:jc w:val="both"/>
              <w:rPr>
                <w:rFonts w:ascii="Arial" w:hAnsi="Arial" w:cs="Arial"/>
                <w:color w:val="auto"/>
              </w:rPr>
            </w:pPr>
          </w:p>
          <w:p w14:paraId="09AD7CFD"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3.11</w:t>
            </w:r>
          </w:p>
        </w:tc>
        <w:tc>
          <w:tcPr>
            <w:tcW w:w="3058" w:type="dxa"/>
            <w:tcBorders>
              <w:top w:val="single" w:sz="4" w:space="0" w:color="00B0F0"/>
              <w:left w:val="single" w:sz="4" w:space="0" w:color="00B0F0"/>
              <w:bottom w:val="single" w:sz="4" w:space="0" w:color="00B0F0"/>
              <w:right w:val="single" w:sz="4" w:space="0" w:color="00B0F0"/>
            </w:tcBorders>
          </w:tcPr>
          <w:p w14:paraId="5FA0B8E5"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“It is important that the whole Steering Group agrees…”</w:t>
            </w:r>
          </w:p>
          <w:p w14:paraId="33E211DE"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“because everyone needs to agree with the findings”</w:t>
            </w:r>
          </w:p>
        </w:tc>
        <w:tc>
          <w:tcPr>
            <w:tcW w:w="2476" w:type="dxa"/>
            <w:tcBorders>
              <w:top w:val="single" w:sz="4" w:space="0" w:color="00B0F0"/>
              <w:left w:val="single" w:sz="4" w:space="0" w:color="00B0F0"/>
              <w:bottom w:val="single" w:sz="4" w:space="0" w:color="00B0F0"/>
              <w:right w:val="single" w:sz="4" w:space="0" w:color="00B0F0"/>
            </w:tcBorders>
          </w:tcPr>
          <w:p w14:paraId="02D441FA"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“It is important that the Steering Group agrees…”</w:t>
            </w:r>
          </w:p>
          <w:p w14:paraId="23F3BC82"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Omit</w:t>
            </w:r>
          </w:p>
        </w:tc>
        <w:tc>
          <w:tcPr>
            <w:tcW w:w="3221" w:type="dxa"/>
            <w:tcBorders>
              <w:top w:val="single" w:sz="4" w:space="0" w:color="00B0F0"/>
              <w:left w:val="single" w:sz="4" w:space="0" w:color="00B0F0"/>
              <w:bottom w:val="single" w:sz="4" w:space="0" w:color="00B0F0"/>
            </w:tcBorders>
          </w:tcPr>
          <w:p w14:paraId="589392E8"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How steering groups make decisions is not relevant to the guidance.</w:t>
            </w:r>
          </w:p>
        </w:tc>
      </w:tr>
      <w:tr w:rsidR="006C0C8F" w:rsidRPr="006C0C8F" w14:paraId="4FCDC5C5" w14:textId="77777777" w:rsidTr="001B53D5">
        <w:trPr>
          <w:trHeight w:val="233"/>
        </w:trPr>
        <w:tc>
          <w:tcPr>
            <w:tcW w:w="884" w:type="dxa"/>
            <w:tcBorders>
              <w:top w:val="single" w:sz="4" w:space="0" w:color="00B0F0"/>
              <w:bottom w:val="single" w:sz="4" w:space="0" w:color="00B0F0"/>
              <w:right w:val="single" w:sz="4" w:space="0" w:color="00B0F0"/>
            </w:tcBorders>
          </w:tcPr>
          <w:p w14:paraId="79CCDB2E"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3.13</w:t>
            </w:r>
          </w:p>
        </w:tc>
        <w:tc>
          <w:tcPr>
            <w:tcW w:w="3058" w:type="dxa"/>
            <w:tcBorders>
              <w:top w:val="single" w:sz="4" w:space="0" w:color="00B0F0"/>
              <w:left w:val="single" w:sz="4" w:space="0" w:color="00B0F0"/>
              <w:bottom w:val="single" w:sz="4" w:space="0" w:color="00B0F0"/>
              <w:right w:val="single" w:sz="4" w:space="0" w:color="00B0F0"/>
            </w:tcBorders>
          </w:tcPr>
          <w:p w14:paraId="43016F0B"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 xml:space="preserve">“They need to be caveated because they cannot be site- or development-specific – that is the role of the LVIA. They also cannot be expected to </w:t>
            </w:r>
            <w:proofErr w:type="gramStart"/>
            <w:r w:rsidRPr="006C0C8F">
              <w:rPr>
                <w:rFonts w:ascii="Arial" w:hAnsi="Arial" w:cs="Arial"/>
                <w:color w:val="auto"/>
              </w:rPr>
              <w:t>take into account</w:t>
            </w:r>
            <w:proofErr w:type="gramEnd"/>
            <w:r w:rsidRPr="006C0C8F">
              <w:rPr>
                <w:rFonts w:ascii="Arial" w:hAnsi="Arial" w:cs="Arial"/>
                <w:color w:val="auto"/>
              </w:rPr>
              <w:t xml:space="preserve"> practicalities - such as land ownership - or go into too much detail.”</w:t>
            </w:r>
          </w:p>
        </w:tc>
        <w:tc>
          <w:tcPr>
            <w:tcW w:w="2476" w:type="dxa"/>
            <w:tcBorders>
              <w:top w:val="single" w:sz="4" w:space="0" w:color="00B0F0"/>
              <w:left w:val="single" w:sz="4" w:space="0" w:color="00B0F0"/>
              <w:bottom w:val="single" w:sz="4" w:space="0" w:color="00B0F0"/>
              <w:right w:val="single" w:sz="4" w:space="0" w:color="00B0F0"/>
            </w:tcBorders>
          </w:tcPr>
          <w:p w14:paraId="290DD23D"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Omit</w:t>
            </w:r>
          </w:p>
        </w:tc>
        <w:tc>
          <w:tcPr>
            <w:tcW w:w="3221" w:type="dxa"/>
            <w:tcBorders>
              <w:top w:val="single" w:sz="4" w:space="0" w:color="00B0F0"/>
              <w:left w:val="single" w:sz="4" w:space="0" w:color="00B0F0"/>
              <w:bottom w:val="single" w:sz="4" w:space="0" w:color="00B0F0"/>
            </w:tcBorders>
          </w:tcPr>
          <w:p w14:paraId="12472E74" w14:textId="77777777" w:rsidR="001B53D5" w:rsidRPr="006C0C8F" w:rsidRDefault="001B53D5" w:rsidP="00A572D2">
            <w:pPr>
              <w:pStyle w:val="Tablebody"/>
              <w:spacing w:before="240"/>
              <w:jc w:val="both"/>
              <w:rPr>
                <w:rFonts w:ascii="Arial" w:hAnsi="Arial" w:cs="Arial"/>
                <w:color w:val="auto"/>
              </w:rPr>
            </w:pPr>
            <w:r w:rsidRPr="006C0C8F">
              <w:rPr>
                <w:rFonts w:ascii="Arial" w:hAnsi="Arial" w:cs="Arial"/>
                <w:color w:val="auto"/>
              </w:rPr>
              <w:t>Design and siting advice in the context of a sensitivity study does not need to be caveated, as none of the findings or advice of a sensitivity assessment study should be treated as policy or as a development constraint.</w:t>
            </w:r>
          </w:p>
        </w:tc>
      </w:tr>
      <w:tr w:rsidR="006C0C8F" w:rsidRPr="006C0C8F" w14:paraId="54A51B93" w14:textId="77777777" w:rsidTr="006C0C8F">
        <w:trPr>
          <w:trHeight w:val="1224"/>
        </w:trPr>
        <w:tc>
          <w:tcPr>
            <w:tcW w:w="884" w:type="dxa"/>
            <w:tcBorders>
              <w:top w:val="single" w:sz="4" w:space="0" w:color="00B0F0"/>
              <w:bottom w:val="single" w:sz="4" w:space="0" w:color="00B0F0"/>
              <w:right w:val="single" w:sz="4" w:space="0" w:color="00B0F0"/>
            </w:tcBorders>
          </w:tcPr>
          <w:p w14:paraId="24290829"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Various</w:t>
            </w:r>
          </w:p>
        </w:tc>
        <w:tc>
          <w:tcPr>
            <w:tcW w:w="3058" w:type="dxa"/>
            <w:tcBorders>
              <w:top w:val="single" w:sz="4" w:space="0" w:color="00B0F0"/>
              <w:left w:val="single" w:sz="4" w:space="0" w:color="00B0F0"/>
              <w:bottom w:val="single" w:sz="4" w:space="0" w:color="00B0F0"/>
              <w:right w:val="single" w:sz="4" w:space="0" w:color="00B0F0"/>
            </w:tcBorders>
          </w:tcPr>
          <w:p w14:paraId="552ACE75"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 xml:space="preserve">Changes of ‘voice’ – for </w:t>
            </w:r>
            <w:proofErr w:type="gramStart"/>
            <w:r w:rsidRPr="006C0C8F">
              <w:rPr>
                <w:rFonts w:ascii="Arial" w:hAnsi="Arial" w:cs="Arial"/>
                <w:color w:val="auto"/>
              </w:rPr>
              <w:t>instance</w:t>
            </w:r>
            <w:proofErr w:type="gramEnd"/>
            <w:r w:rsidRPr="006C0C8F">
              <w:rPr>
                <w:rFonts w:ascii="Arial" w:hAnsi="Arial" w:cs="Arial"/>
                <w:color w:val="auto"/>
              </w:rPr>
              <w:t xml:space="preserve"> the use of ‘is’ to describe how assessments progress at 3.10 and 3.11; and a less formal tone in general in section 3.</w:t>
            </w:r>
          </w:p>
        </w:tc>
        <w:tc>
          <w:tcPr>
            <w:tcW w:w="2476" w:type="dxa"/>
            <w:tcBorders>
              <w:top w:val="single" w:sz="4" w:space="0" w:color="00B0F0"/>
              <w:left w:val="single" w:sz="4" w:space="0" w:color="00B0F0"/>
              <w:bottom w:val="single" w:sz="4" w:space="0" w:color="00B0F0"/>
              <w:right w:val="single" w:sz="4" w:space="0" w:color="00B0F0"/>
            </w:tcBorders>
          </w:tcPr>
          <w:p w14:paraId="663F35DE"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Use ‘should be’ or ‘must be’ rather than ‘is’. Use a consistent formal tone throughout.</w:t>
            </w:r>
          </w:p>
        </w:tc>
        <w:tc>
          <w:tcPr>
            <w:tcW w:w="3221" w:type="dxa"/>
            <w:tcBorders>
              <w:top w:val="single" w:sz="4" w:space="0" w:color="00B0F0"/>
              <w:left w:val="single" w:sz="4" w:space="0" w:color="00B0F0"/>
              <w:bottom w:val="single" w:sz="4" w:space="0" w:color="00B0F0"/>
            </w:tcBorders>
          </w:tcPr>
          <w:p w14:paraId="22027DE9"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 xml:space="preserve">Tone </w:t>
            </w:r>
          </w:p>
        </w:tc>
      </w:tr>
      <w:tr w:rsidR="006C0C8F" w:rsidRPr="006C0C8F" w14:paraId="567DAA29" w14:textId="77777777" w:rsidTr="006C0C8F">
        <w:trPr>
          <w:trHeight w:val="489"/>
        </w:trPr>
        <w:tc>
          <w:tcPr>
            <w:tcW w:w="884" w:type="dxa"/>
            <w:tcBorders>
              <w:top w:val="single" w:sz="4" w:space="0" w:color="00B0F0"/>
              <w:bottom w:val="single" w:sz="4" w:space="0" w:color="00B0F0"/>
              <w:right w:val="single" w:sz="4" w:space="0" w:color="00B0F0"/>
            </w:tcBorders>
          </w:tcPr>
          <w:p w14:paraId="5D1FBEA0"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4.1</w:t>
            </w:r>
          </w:p>
        </w:tc>
        <w:tc>
          <w:tcPr>
            <w:tcW w:w="3058" w:type="dxa"/>
            <w:tcBorders>
              <w:top w:val="single" w:sz="4" w:space="0" w:color="00B0F0"/>
              <w:left w:val="single" w:sz="4" w:space="0" w:color="00B0F0"/>
              <w:bottom w:val="single" w:sz="4" w:space="0" w:color="00B0F0"/>
              <w:right w:val="single" w:sz="4" w:space="0" w:color="00B0F0"/>
            </w:tcBorders>
          </w:tcPr>
          <w:p w14:paraId="25E0F35E"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“Include caveats …”</w:t>
            </w:r>
          </w:p>
        </w:tc>
        <w:tc>
          <w:tcPr>
            <w:tcW w:w="2476" w:type="dxa"/>
            <w:tcBorders>
              <w:top w:val="single" w:sz="4" w:space="0" w:color="00B0F0"/>
              <w:left w:val="single" w:sz="4" w:space="0" w:color="00B0F0"/>
              <w:bottom w:val="single" w:sz="4" w:space="0" w:color="00B0F0"/>
              <w:right w:val="single" w:sz="4" w:space="0" w:color="00B0F0"/>
            </w:tcBorders>
          </w:tcPr>
          <w:p w14:paraId="41E51E90"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Include advice …</w:t>
            </w:r>
          </w:p>
        </w:tc>
        <w:tc>
          <w:tcPr>
            <w:tcW w:w="3221" w:type="dxa"/>
            <w:tcBorders>
              <w:top w:val="single" w:sz="4" w:space="0" w:color="00B0F0"/>
              <w:left w:val="single" w:sz="4" w:space="0" w:color="00B0F0"/>
              <w:bottom w:val="single" w:sz="4" w:space="0" w:color="00B0F0"/>
            </w:tcBorders>
          </w:tcPr>
          <w:p w14:paraId="0DD243BF"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Tone</w:t>
            </w:r>
          </w:p>
        </w:tc>
      </w:tr>
      <w:tr w:rsidR="006C0C8F" w:rsidRPr="006C0C8F" w14:paraId="6B3F8E3A" w14:textId="77777777" w:rsidTr="001B53D5">
        <w:trPr>
          <w:trHeight w:val="233"/>
        </w:trPr>
        <w:tc>
          <w:tcPr>
            <w:tcW w:w="884" w:type="dxa"/>
            <w:tcBorders>
              <w:top w:val="single" w:sz="4" w:space="0" w:color="00B0F0"/>
              <w:bottom w:val="single" w:sz="4" w:space="0" w:color="00B0F0"/>
              <w:right w:val="single" w:sz="4" w:space="0" w:color="00B0F0"/>
            </w:tcBorders>
          </w:tcPr>
          <w:p w14:paraId="2DF5D471"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4.4</w:t>
            </w:r>
          </w:p>
        </w:tc>
        <w:tc>
          <w:tcPr>
            <w:tcW w:w="3058" w:type="dxa"/>
            <w:tcBorders>
              <w:top w:val="single" w:sz="4" w:space="0" w:color="00B0F0"/>
              <w:left w:val="single" w:sz="4" w:space="0" w:color="00B0F0"/>
              <w:bottom w:val="single" w:sz="4" w:space="0" w:color="00B0F0"/>
              <w:right w:val="single" w:sz="4" w:space="0" w:color="00B0F0"/>
            </w:tcBorders>
          </w:tcPr>
          <w:p w14:paraId="4AE3BBF5" w14:textId="0A9E79CA"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 xml:space="preserve">“This will help to avoid users of the documents incorrectly overlooking </w:t>
            </w:r>
            <w:proofErr w:type="gramStart"/>
            <w:r w:rsidRPr="006C0C8F">
              <w:rPr>
                <w:rFonts w:ascii="Arial" w:hAnsi="Arial" w:cs="Arial"/>
                <w:color w:val="auto"/>
              </w:rPr>
              <w:t>less</w:t>
            </w:r>
            <w:proofErr w:type="gramEnd"/>
            <w:r w:rsidRPr="006C0C8F">
              <w:rPr>
                <w:rFonts w:ascii="Arial" w:hAnsi="Arial" w:cs="Arial"/>
                <w:color w:val="auto"/>
              </w:rPr>
              <w:t xml:space="preserve"> sensitive landscapes as places where there are not issues to consider. “</w:t>
            </w:r>
          </w:p>
        </w:tc>
        <w:tc>
          <w:tcPr>
            <w:tcW w:w="2476" w:type="dxa"/>
            <w:tcBorders>
              <w:top w:val="single" w:sz="4" w:space="0" w:color="00B0F0"/>
              <w:left w:val="single" w:sz="4" w:space="0" w:color="00B0F0"/>
              <w:bottom w:val="single" w:sz="4" w:space="0" w:color="00B0F0"/>
              <w:right w:val="single" w:sz="4" w:space="0" w:color="00B0F0"/>
            </w:tcBorders>
          </w:tcPr>
          <w:p w14:paraId="1DAE75BB"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Omit</w:t>
            </w:r>
          </w:p>
        </w:tc>
        <w:tc>
          <w:tcPr>
            <w:tcW w:w="3221" w:type="dxa"/>
            <w:tcBorders>
              <w:top w:val="single" w:sz="4" w:space="0" w:color="00B0F0"/>
              <w:left w:val="single" w:sz="4" w:space="0" w:color="00B0F0"/>
              <w:bottom w:val="single" w:sz="4" w:space="0" w:color="00B0F0"/>
            </w:tcBorders>
          </w:tcPr>
          <w:p w14:paraId="48E74499"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An unwarranted assumption.</w:t>
            </w:r>
          </w:p>
        </w:tc>
      </w:tr>
      <w:tr w:rsidR="006C0C8F" w:rsidRPr="006C0C8F" w14:paraId="44188205" w14:textId="77777777" w:rsidTr="001B53D5">
        <w:trPr>
          <w:trHeight w:val="233"/>
        </w:trPr>
        <w:tc>
          <w:tcPr>
            <w:tcW w:w="884" w:type="dxa"/>
            <w:tcBorders>
              <w:top w:val="single" w:sz="4" w:space="0" w:color="00B0F0"/>
              <w:bottom w:val="single" w:sz="4" w:space="0" w:color="00B0F0"/>
              <w:right w:val="single" w:sz="4" w:space="0" w:color="00B0F0"/>
            </w:tcBorders>
          </w:tcPr>
          <w:p w14:paraId="00402F73"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5.1 to 5.4</w:t>
            </w:r>
          </w:p>
        </w:tc>
        <w:tc>
          <w:tcPr>
            <w:tcW w:w="3058" w:type="dxa"/>
            <w:tcBorders>
              <w:top w:val="single" w:sz="4" w:space="0" w:color="00B0F0"/>
              <w:left w:val="single" w:sz="4" w:space="0" w:color="00B0F0"/>
              <w:bottom w:val="single" w:sz="4" w:space="0" w:color="00B0F0"/>
              <w:right w:val="single" w:sz="4" w:space="0" w:color="00B0F0"/>
            </w:tcBorders>
          </w:tcPr>
          <w:p w14:paraId="3969034E"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All</w:t>
            </w:r>
          </w:p>
        </w:tc>
        <w:tc>
          <w:tcPr>
            <w:tcW w:w="2476" w:type="dxa"/>
            <w:tcBorders>
              <w:top w:val="single" w:sz="4" w:space="0" w:color="00B0F0"/>
              <w:left w:val="single" w:sz="4" w:space="0" w:color="00B0F0"/>
              <w:bottom w:val="single" w:sz="4" w:space="0" w:color="00B0F0"/>
              <w:right w:val="single" w:sz="4" w:space="0" w:color="00B0F0"/>
            </w:tcBorders>
          </w:tcPr>
          <w:p w14:paraId="0CB0877B"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Rewrite this section to advise periodic review to ensure that studies remain:</w:t>
            </w:r>
          </w:p>
          <w:p w14:paraId="6B4A27C3" w14:textId="19AE378A" w:rsidR="001B53D5" w:rsidRPr="006C0C8F" w:rsidRDefault="001B53D5" w:rsidP="00F20D37">
            <w:pPr>
              <w:pStyle w:val="Tablebody"/>
              <w:numPr>
                <w:ilvl w:val="0"/>
                <w:numId w:val="10"/>
              </w:numPr>
              <w:spacing w:before="240"/>
              <w:ind w:left="346"/>
              <w:jc w:val="both"/>
              <w:rPr>
                <w:rFonts w:ascii="Arial" w:hAnsi="Arial" w:cs="Arial"/>
                <w:color w:val="auto"/>
              </w:rPr>
            </w:pPr>
            <w:r w:rsidRPr="006C0C8F">
              <w:rPr>
                <w:rFonts w:ascii="Arial" w:hAnsi="Arial" w:cs="Arial"/>
                <w:color w:val="auto"/>
              </w:rPr>
              <w:t xml:space="preserve">adequately up to </w:t>
            </w:r>
            <w:proofErr w:type="gramStart"/>
            <w:r w:rsidRPr="006C0C8F">
              <w:rPr>
                <w:rFonts w:ascii="Arial" w:hAnsi="Arial" w:cs="Arial"/>
                <w:color w:val="auto"/>
              </w:rPr>
              <w:t>date;</w:t>
            </w:r>
            <w:proofErr w:type="gramEnd"/>
            <w:r w:rsidRPr="006C0C8F">
              <w:rPr>
                <w:rFonts w:ascii="Arial" w:hAnsi="Arial" w:cs="Arial"/>
                <w:color w:val="auto"/>
              </w:rPr>
              <w:t xml:space="preserve"> </w:t>
            </w:r>
          </w:p>
          <w:p w14:paraId="16E458E1" w14:textId="77777777" w:rsidR="001B53D5" w:rsidRPr="006C0C8F" w:rsidRDefault="001B53D5" w:rsidP="00F20D37">
            <w:pPr>
              <w:pStyle w:val="Tablebody"/>
              <w:numPr>
                <w:ilvl w:val="0"/>
                <w:numId w:val="10"/>
              </w:numPr>
              <w:spacing w:before="240"/>
              <w:ind w:left="346"/>
              <w:jc w:val="both"/>
              <w:rPr>
                <w:rFonts w:ascii="Arial" w:hAnsi="Arial" w:cs="Arial"/>
                <w:color w:val="auto"/>
              </w:rPr>
            </w:pPr>
            <w:r w:rsidRPr="006C0C8F">
              <w:rPr>
                <w:rFonts w:ascii="Arial" w:hAnsi="Arial" w:cs="Arial"/>
                <w:color w:val="auto"/>
              </w:rPr>
              <w:t>fit for their intended purpose, and</w:t>
            </w:r>
          </w:p>
          <w:p w14:paraId="51327F16" w14:textId="77777777" w:rsidR="001B53D5" w:rsidRPr="006C0C8F" w:rsidRDefault="001B53D5" w:rsidP="00F20D37">
            <w:pPr>
              <w:pStyle w:val="Tablebody"/>
              <w:numPr>
                <w:ilvl w:val="0"/>
                <w:numId w:val="10"/>
              </w:numPr>
              <w:spacing w:before="240"/>
              <w:ind w:left="346"/>
              <w:jc w:val="both"/>
              <w:rPr>
                <w:rFonts w:ascii="Arial" w:hAnsi="Arial" w:cs="Arial"/>
                <w:color w:val="auto"/>
              </w:rPr>
            </w:pPr>
            <w:r w:rsidRPr="006C0C8F">
              <w:rPr>
                <w:rFonts w:ascii="Arial" w:hAnsi="Arial" w:cs="Arial"/>
                <w:color w:val="auto"/>
              </w:rPr>
              <w:t xml:space="preserve">that their purpose remains valid (e.g. aligned with current policy and objectives). </w:t>
            </w:r>
          </w:p>
        </w:tc>
        <w:tc>
          <w:tcPr>
            <w:tcW w:w="3221" w:type="dxa"/>
            <w:tcBorders>
              <w:top w:val="single" w:sz="4" w:space="0" w:color="00B0F0"/>
              <w:left w:val="single" w:sz="4" w:space="0" w:color="00B0F0"/>
              <w:bottom w:val="single" w:sz="4" w:space="0" w:color="00B0F0"/>
            </w:tcBorders>
          </w:tcPr>
          <w:p w14:paraId="1942568C"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The section is muddled and the issues that should be of concern are not whether a sensitivity study is being used (para 5.1), or whether development is going where people expected / wanted it to (para 5.3).</w:t>
            </w:r>
          </w:p>
          <w:p w14:paraId="687AC1D9" w14:textId="77777777" w:rsidR="00A572D2" w:rsidRDefault="001B53D5" w:rsidP="00F20D37">
            <w:pPr>
              <w:pStyle w:val="Tablebody"/>
              <w:spacing w:before="240"/>
              <w:jc w:val="both"/>
              <w:rPr>
                <w:rFonts w:ascii="Arial" w:hAnsi="Arial" w:cs="Arial"/>
                <w:color w:val="auto"/>
              </w:rPr>
            </w:pPr>
            <w:r w:rsidRPr="006C0C8F">
              <w:rPr>
                <w:rFonts w:ascii="Arial" w:hAnsi="Arial" w:cs="Arial"/>
                <w:color w:val="auto"/>
              </w:rPr>
              <w:t xml:space="preserve">The three suggested tests will allow for consideration of: </w:t>
            </w:r>
          </w:p>
          <w:p w14:paraId="20FEED63" w14:textId="2998DD9E"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br/>
              <w:t>1) Changes that might make an assessment out of date (e.g. to the landscape, or to development or land management practices).</w:t>
            </w:r>
          </w:p>
          <w:p w14:paraId="6EE5AF1A"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2) Whether the assessment meets current recommended practice.</w:t>
            </w:r>
          </w:p>
          <w:p w14:paraId="7C7B64DD" w14:textId="1F905CC0"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 xml:space="preserve">3) Whether the assumptions, context or purpose of the study remain valid. E.g. The declaration of a climate emergency by the Scottish Government is a good reason to review older capacity studies that seek to restrict renewables development. </w:t>
            </w:r>
          </w:p>
          <w:p w14:paraId="24D96C32" w14:textId="77777777" w:rsidR="001B53D5" w:rsidRPr="006C0C8F" w:rsidRDefault="001B53D5" w:rsidP="00F20D37">
            <w:pPr>
              <w:pStyle w:val="Tablebody"/>
              <w:spacing w:before="240"/>
              <w:jc w:val="both"/>
              <w:rPr>
                <w:rFonts w:ascii="Arial" w:hAnsi="Arial" w:cs="Arial"/>
                <w:color w:val="auto"/>
              </w:rPr>
            </w:pPr>
          </w:p>
        </w:tc>
      </w:tr>
      <w:tr w:rsidR="006C0C8F" w:rsidRPr="006C0C8F" w14:paraId="5CE37D47" w14:textId="77777777" w:rsidTr="001B53D5">
        <w:trPr>
          <w:trHeight w:val="233"/>
        </w:trPr>
        <w:tc>
          <w:tcPr>
            <w:tcW w:w="884" w:type="dxa"/>
            <w:tcBorders>
              <w:top w:val="single" w:sz="4" w:space="0" w:color="00B0F0"/>
              <w:bottom w:val="single" w:sz="4" w:space="0" w:color="00B0F0"/>
              <w:right w:val="single" w:sz="4" w:space="0" w:color="00B0F0"/>
            </w:tcBorders>
          </w:tcPr>
          <w:p w14:paraId="7B40DB12"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General</w:t>
            </w:r>
          </w:p>
        </w:tc>
        <w:tc>
          <w:tcPr>
            <w:tcW w:w="3058" w:type="dxa"/>
            <w:tcBorders>
              <w:top w:val="single" w:sz="4" w:space="0" w:color="00B0F0"/>
              <w:left w:val="single" w:sz="4" w:space="0" w:color="00B0F0"/>
              <w:bottom w:val="single" w:sz="4" w:space="0" w:color="00B0F0"/>
              <w:right w:val="single" w:sz="4" w:space="0" w:color="00B0F0"/>
            </w:tcBorders>
          </w:tcPr>
          <w:p w14:paraId="022138E7"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Repeated sections</w:t>
            </w:r>
          </w:p>
        </w:tc>
        <w:tc>
          <w:tcPr>
            <w:tcW w:w="2476" w:type="dxa"/>
            <w:tcBorders>
              <w:top w:val="single" w:sz="4" w:space="0" w:color="00B0F0"/>
              <w:left w:val="single" w:sz="4" w:space="0" w:color="00B0F0"/>
              <w:bottom w:val="single" w:sz="4" w:space="0" w:color="00B0F0"/>
              <w:right w:val="single" w:sz="4" w:space="0" w:color="00B0F0"/>
            </w:tcBorders>
          </w:tcPr>
          <w:p w14:paraId="4F90B708"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Review carefully to remove unnecessary repetition</w:t>
            </w:r>
          </w:p>
        </w:tc>
        <w:tc>
          <w:tcPr>
            <w:tcW w:w="3221" w:type="dxa"/>
            <w:tcBorders>
              <w:top w:val="single" w:sz="4" w:space="0" w:color="00B0F0"/>
              <w:left w:val="single" w:sz="4" w:space="0" w:color="00B0F0"/>
              <w:bottom w:val="single" w:sz="4" w:space="0" w:color="00B0F0"/>
            </w:tcBorders>
          </w:tcPr>
          <w:p w14:paraId="7DCA81D3"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Some repetition may be needed for clarity between sections of the document but should not occur unless necessary. Emphasis is not a good reason for repetition.</w:t>
            </w:r>
          </w:p>
        </w:tc>
      </w:tr>
      <w:tr w:rsidR="006C0C8F" w:rsidRPr="006C0C8F" w14:paraId="219D18B7" w14:textId="77777777" w:rsidTr="001B53D5">
        <w:trPr>
          <w:trHeight w:val="233"/>
        </w:trPr>
        <w:tc>
          <w:tcPr>
            <w:tcW w:w="884" w:type="dxa"/>
            <w:tcBorders>
              <w:top w:val="single" w:sz="4" w:space="0" w:color="00B0F0"/>
              <w:bottom w:val="nil"/>
              <w:right w:val="single" w:sz="4" w:space="0" w:color="00B0F0"/>
            </w:tcBorders>
          </w:tcPr>
          <w:p w14:paraId="1E49EFED"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General</w:t>
            </w:r>
          </w:p>
        </w:tc>
        <w:tc>
          <w:tcPr>
            <w:tcW w:w="3058" w:type="dxa"/>
            <w:tcBorders>
              <w:top w:val="single" w:sz="4" w:space="0" w:color="00B0F0"/>
              <w:left w:val="single" w:sz="4" w:space="0" w:color="00B0F0"/>
              <w:bottom w:val="nil"/>
              <w:right w:val="single" w:sz="4" w:space="0" w:color="00B0F0"/>
            </w:tcBorders>
          </w:tcPr>
          <w:p w14:paraId="1586167D"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Use of susceptibility / sensitivity</w:t>
            </w:r>
          </w:p>
        </w:tc>
        <w:tc>
          <w:tcPr>
            <w:tcW w:w="2476" w:type="dxa"/>
            <w:tcBorders>
              <w:top w:val="single" w:sz="4" w:space="0" w:color="00B0F0"/>
              <w:left w:val="single" w:sz="4" w:space="0" w:color="00B0F0"/>
              <w:bottom w:val="nil"/>
              <w:right w:val="single" w:sz="4" w:space="0" w:color="00B0F0"/>
            </w:tcBorders>
          </w:tcPr>
          <w:p w14:paraId="54198683" w14:textId="77777777" w:rsidR="001B53D5" w:rsidRPr="006C0C8F" w:rsidRDefault="001B53D5" w:rsidP="00F20D37">
            <w:pPr>
              <w:pStyle w:val="Tablebody"/>
              <w:spacing w:before="240"/>
              <w:jc w:val="both"/>
              <w:rPr>
                <w:rFonts w:ascii="Arial" w:hAnsi="Arial" w:cs="Arial"/>
                <w:color w:val="auto"/>
              </w:rPr>
            </w:pPr>
            <w:r w:rsidRPr="006C0C8F">
              <w:rPr>
                <w:rFonts w:ascii="Arial" w:hAnsi="Arial" w:cs="Arial"/>
                <w:color w:val="auto"/>
              </w:rPr>
              <w:t>Review carefully to ensure terms are appropriately used throughout.</w:t>
            </w:r>
          </w:p>
        </w:tc>
        <w:tc>
          <w:tcPr>
            <w:tcW w:w="3221" w:type="dxa"/>
            <w:tcBorders>
              <w:top w:val="single" w:sz="4" w:space="0" w:color="00B0F0"/>
              <w:left w:val="single" w:sz="4" w:space="0" w:color="00B0F0"/>
              <w:bottom w:val="nil"/>
            </w:tcBorders>
          </w:tcPr>
          <w:p w14:paraId="724A25E8" w14:textId="77777777" w:rsidR="001B53D5" w:rsidRPr="006C0C8F" w:rsidRDefault="001B53D5" w:rsidP="00F20D37">
            <w:pPr>
              <w:pStyle w:val="Tablebody"/>
              <w:spacing w:before="240"/>
              <w:jc w:val="both"/>
              <w:rPr>
                <w:rFonts w:ascii="Arial" w:hAnsi="Arial" w:cs="Arial"/>
                <w:color w:val="auto"/>
              </w:rPr>
            </w:pPr>
          </w:p>
        </w:tc>
      </w:tr>
    </w:tbl>
    <w:p w14:paraId="0C963F06" w14:textId="5A7ABBFB" w:rsidR="003B7737" w:rsidRPr="006C0C8F" w:rsidRDefault="003B7737" w:rsidP="006C0C8F">
      <w:pPr>
        <w:jc w:val="both"/>
        <w:rPr>
          <w:rFonts w:eastAsiaTheme="majorEastAsia" w:cs="Arial"/>
          <w:b/>
          <w:sz w:val="28"/>
          <w:szCs w:val="32"/>
          <w:lang w:bidi="en-US"/>
        </w:rPr>
      </w:pPr>
    </w:p>
    <w:p w14:paraId="22C9D975" w14:textId="013C97C0" w:rsidR="001B53D5" w:rsidRPr="006C0C8F" w:rsidRDefault="001B53D5" w:rsidP="006C0C8F">
      <w:pPr>
        <w:pStyle w:val="Heading1"/>
      </w:pPr>
      <w:bookmarkStart w:id="24" w:name="_Toc48902212"/>
      <w:bookmarkStart w:id="25" w:name="_Toc48902674"/>
      <w:bookmarkStart w:id="26" w:name="_Toc48902759"/>
      <w:r w:rsidRPr="006C0C8F">
        <w:lastRenderedPageBreak/>
        <w:t>Theme E – Relationship to other guidance</w:t>
      </w:r>
      <w:bookmarkEnd w:id="24"/>
      <w:bookmarkEnd w:id="25"/>
      <w:bookmarkEnd w:id="26"/>
    </w:p>
    <w:p w14:paraId="34A82117" w14:textId="77777777" w:rsidR="001B53D5" w:rsidRPr="006C0C8F" w:rsidRDefault="001B53D5" w:rsidP="006C0C8F">
      <w:pPr>
        <w:pStyle w:val="Heading2"/>
        <w:jc w:val="both"/>
      </w:pPr>
      <w:bookmarkStart w:id="27" w:name="_Toc48902213"/>
      <w:r w:rsidRPr="006C0C8F">
        <w:t>Introduction</w:t>
      </w:r>
      <w:bookmarkEnd w:id="27"/>
    </w:p>
    <w:p w14:paraId="310A430D" w14:textId="77777777" w:rsidR="001B53D5" w:rsidRPr="006C0C8F" w:rsidRDefault="001B53D5" w:rsidP="006C0C8F">
      <w:pPr>
        <w:jc w:val="both"/>
        <w:rPr>
          <w:lang w:val="en-US"/>
        </w:rPr>
      </w:pPr>
      <w:r w:rsidRPr="006C0C8F">
        <w:rPr>
          <w:lang w:val="en-US"/>
        </w:rPr>
        <w:t>The relationship of this document to other SNH guidance is unclear. Tensions are created with other guidance and it is critical that these are resolved as part of the publication of this guidance. If they are not, the burden of resolving the differences between the documents is placed onto applicants and decision makers during the determination of development applications.</w:t>
      </w:r>
    </w:p>
    <w:p w14:paraId="71BB1F70" w14:textId="77777777" w:rsidR="001B53D5" w:rsidRPr="006C0C8F" w:rsidRDefault="001B53D5" w:rsidP="006C0C8F">
      <w:pPr>
        <w:pStyle w:val="Heading2"/>
        <w:jc w:val="both"/>
      </w:pPr>
      <w:bookmarkStart w:id="28" w:name="_Toc48902214"/>
      <w:r w:rsidRPr="006C0C8F">
        <w:t>Comments</w:t>
      </w:r>
      <w:bookmarkEnd w:id="28"/>
    </w:p>
    <w:p w14:paraId="32B20419" w14:textId="77777777" w:rsidR="001B53D5" w:rsidRPr="006C0C8F" w:rsidRDefault="001B53D5" w:rsidP="006C0C8F">
      <w:pPr>
        <w:jc w:val="both"/>
        <w:rPr>
          <w:lang w:val="en-US"/>
        </w:rPr>
      </w:pPr>
      <w:r w:rsidRPr="006C0C8F">
        <w:rPr>
          <w:lang w:val="en-US"/>
        </w:rPr>
        <w:t xml:space="preserve">Para. 1 of the draft guidance signals an intention to retain all existing SNH guidance. However, that approach will set up conflicts with some current documents. </w:t>
      </w:r>
    </w:p>
    <w:p w14:paraId="72540906" w14:textId="77777777" w:rsidR="001B53D5" w:rsidRPr="006C0C8F" w:rsidRDefault="001B53D5" w:rsidP="006C0C8F">
      <w:pPr>
        <w:jc w:val="both"/>
      </w:pPr>
      <w:r w:rsidRPr="006C0C8F">
        <w:t>There is overlap between this guidance and:</w:t>
      </w:r>
    </w:p>
    <w:p w14:paraId="1CEB1222" w14:textId="77777777" w:rsidR="001B53D5" w:rsidRPr="006C0C8F" w:rsidRDefault="001B53D5" w:rsidP="006C0C8F">
      <w:pPr>
        <w:pStyle w:val="Bulletlist"/>
        <w:rPr>
          <w:color w:val="auto"/>
        </w:rPr>
      </w:pPr>
      <w:r w:rsidRPr="006C0C8F">
        <w:rPr>
          <w:color w:val="auto"/>
        </w:rPr>
        <w:t xml:space="preserve">‘A Guide to Commissioning a Landscape Capacity Study Toolkit’ which substantially covers the same </w:t>
      </w:r>
      <w:proofErr w:type="gramStart"/>
      <w:r w:rsidRPr="006C0C8F">
        <w:rPr>
          <w:color w:val="auto"/>
        </w:rPr>
        <w:t>ground;</w:t>
      </w:r>
      <w:proofErr w:type="gramEnd"/>
      <w:r w:rsidRPr="006C0C8F">
        <w:rPr>
          <w:color w:val="auto"/>
        </w:rPr>
        <w:t xml:space="preserve"> </w:t>
      </w:r>
    </w:p>
    <w:p w14:paraId="7FD54830" w14:textId="0C746593" w:rsidR="006C0C8F" w:rsidRPr="006C0C8F" w:rsidRDefault="001B53D5" w:rsidP="006C0C8F">
      <w:pPr>
        <w:pStyle w:val="Bulletlist"/>
        <w:rPr>
          <w:color w:val="auto"/>
        </w:rPr>
      </w:pPr>
      <w:r w:rsidRPr="006C0C8F">
        <w:rPr>
          <w:color w:val="auto"/>
        </w:rPr>
        <w:t>‘Guidance - Spatial Planning for Onshore Wind Turbines - natural heritage considerations - June 2015’, which partly covers this topic in relation to onshore wind development.</w:t>
      </w:r>
    </w:p>
    <w:p w14:paraId="6869758B" w14:textId="77777777" w:rsidR="006C0C8F" w:rsidRPr="006C0C8F" w:rsidRDefault="006C0C8F" w:rsidP="006C0C8F">
      <w:pPr>
        <w:pStyle w:val="Bulletlist"/>
        <w:numPr>
          <w:ilvl w:val="0"/>
          <w:numId w:val="0"/>
        </w:numPr>
        <w:ind w:left="1418"/>
        <w:rPr>
          <w:color w:val="auto"/>
        </w:rPr>
      </w:pPr>
    </w:p>
    <w:p w14:paraId="46F35168" w14:textId="4C27DC3F" w:rsidR="001B53D5" w:rsidRPr="006C0C8F" w:rsidRDefault="001B53D5" w:rsidP="006C0C8F">
      <w:pPr>
        <w:jc w:val="both"/>
      </w:pPr>
      <w:r w:rsidRPr="006C0C8F">
        <w:t>The overlap between the draft guidance and the ‘toolkit’ is substantial. Given that the ‘toolkit’ retains reference to capacity studies, we consider that it should be superseded or revised.  A beneficial approach could be to focus the toolkit onto commissioning and management advice, and the Landscape Sensitivity guidance onto the technical aspects. This would provide greater clarity of purpose for each document and reduce the potential for conflicting advice and terminology.</w:t>
      </w:r>
    </w:p>
    <w:p w14:paraId="7F86E3F6" w14:textId="77777777" w:rsidR="001B53D5" w:rsidRPr="006C0C8F" w:rsidRDefault="001B53D5" w:rsidP="006C0C8F">
      <w:pPr>
        <w:jc w:val="both"/>
      </w:pPr>
      <w:r w:rsidRPr="006C0C8F">
        <w:t>‘Spatial Planning for Onshore Wind Turbines’ contains advice regarding capacity studies which should be superseded by this new guidance rather than being retained, although other sections of that document will remain current.</w:t>
      </w:r>
    </w:p>
    <w:p w14:paraId="7BFE67DD" w14:textId="74E45039" w:rsidR="001B53D5" w:rsidRPr="006C0C8F" w:rsidRDefault="001B53D5" w:rsidP="006C0C8F">
      <w:pPr>
        <w:jc w:val="both"/>
        <w:rPr>
          <w:rFonts w:eastAsiaTheme="majorEastAsia" w:cs="Arial"/>
          <w:b/>
          <w:sz w:val="28"/>
          <w:szCs w:val="32"/>
          <w:lang w:bidi="en-US"/>
        </w:rPr>
      </w:pPr>
      <w:r w:rsidRPr="006C0C8F">
        <w:t>The section of the guidance which covers landscape value (Fig 5 and para 2.3.7 to 2.3.10) could beneficially refer to SNH 2017 ‘Draft Guidance on Local Landscape Areas’ which provides guidance on landscape value criteria. This would reduce the potential for divergence between the criteria used in sensitivity studies and the criteria used to identify valued landscape.</w:t>
      </w:r>
    </w:p>
    <w:sectPr w:rsidR="001B53D5" w:rsidRPr="006C0C8F" w:rsidSect="009C1AD9">
      <w:headerReference w:type="first" r:id="rId12"/>
      <w:footerReference w:type="first" r:id="rId13"/>
      <w:pgSz w:w="11906" w:h="16838"/>
      <w:pgMar w:top="1418" w:right="1418" w:bottom="156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CFAD" w14:textId="77777777" w:rsidR="00762F76" w:rsidRDefault="00762F76" w:rsidP="00A64FB9">
      <w:pPr>
        <w:spacing w:after="0" w:line="240" w:lineRule="auto"/>
      </w:pPr>
      <w:r>
        <w:separator/>
      </w:r>
    </w:p>
  </w:endnote>
  <w:endnote w:type="continuationSeparator" w:id="0">
    <w:p w14:paraId="73E51589" w14:textId="77777777" w:rsidR="00762F76" w:rsidRDefault="00762F76" w:rsidP="00A6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fia Pro Light">
    <w:panose1 w:val="00000000000000000000"/>
    <w:charset w:val="00"/>
    <w:family w:val="modern"/>
    <w:notTrueType/>
    <w:pitch w:val="variable"/>
    <w:sig w:usb0="A000022F" w:usb1="5000004B" w:usb2="00000000" w:usb3="00000000" w:csb0="00000197" w:csb1="00000000"/>
  </w:font>
  <w:font w:name="Montserra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329809"/>
      <w:docPartObj>
        <w:docPartGallery w:val="Page Numbers (Bottom of Page)"/>
        <w:docPartUnique/>
      </w:docPartObj>
    </w:sdtPr>
    <w:sdtEndPr>
      <w:rPr>
        <w:noProof/>
      </w:rPr>
    </w:sdtEndPr>
    <w:sdtContent>
      <w:p w14:paraId="25F5B567" w14:textId="65946519" w:rsidR="00DB20E8" w:rsidRDefault="00DB20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E014B0" w14:textId="77777777" w:rsidR="00DB20E8" w:rsidRDefault="00DB2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71F4" w14:textId="4C228F6E" w:rsidR="009C1AD9" w:rsidRDefault="00AF329D" w:rsidP="00AF329D">
    <w:pPr>
      <w:pStyle w:val="Footer"/>
      <w:jc w:val="right"/>
    </w:pPr>
    <w:r>
      <w:fldChar w:fldCharType="begin"/>
    </w:r>
    <w:r>
      <w:instrText xml:space="preserve"> PAGE   \* MERGEFORMAT </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46811" w14:textId="77777777" w:rsidR="00762F76" w:rsidRDefault="00762F76" w:rsidP="00A64FB9">
      <w:pPr>
        <w:spacing w:after="0" w:line="240" w:lineRule="auto"/>
      </w:pPr>
      <w:r>
        <w:separator/>
      </w:r>
    </w:p>
  </w:footnote>
  <w:footnote w:type="continuationSeparator" w:id="0">
    <w:p w14:paraId="6A661EEA" w14:textId="77777777" w:rsidR="00762F76" w:rsidRDefault="00762F76" w:rsidP="00A64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DF3AF" w14:textId="2760AD16" w:rsidR="009D3D02" w:rsidRDefault="00A572D2">
    <w:pPr>
      <w:pStyle w:val="Header"/>
    </w:pPr>
    <w:r>
      <w:rPr>
        <w:noProof/>
      </w:rPr>
      <w:pict w14:anchorId="371B2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4" o:spid="_x0000_s2050" type="#_x0000_t136" style="position:absolute;margin-left:0;margin-top:0;width:399.6pt;height:239.7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63360" w14:textId="29ADB5F0" w:rsidR="009D3D02" w:rsidRDefault="00A572D2">
    <w:pPr>
      <w:pStyle w:val="Header"/>
    </w:pPr>
    <w:r>
      <w:rPr>
        <w:noProof/>
      </w:rPr>
      <w:pict w14:anchorId="58D976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5" o:spid="_x0000_s2051" type="#_x0000_t136" style="position:absolute;margin-left:0;margin-top:0;width:399.6pt;height:239.7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6805" w14:textId="722276F0" w:rsidR="008A0DB2" w:rsidRDefault="00A572D2">
    <w:pPr>
      <w:pStyle w:val="Header"/>
    </w:pPr>
    <w:r>
      <w:rPr>
        <w:noProof/>
      </w:rPr>
      <w:pict w14:anchorId="72F9BF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910343" o:spid="_x0000_s2049" type="#_x0000_t136" style="position:absolute;margin-left:0;margin-top:0;width:399.6pt;height:239.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A0DB2" w:rsidRPr="004C05DF">
      <w:rPr>
        <w:rFonts w:cs="Arial"/>
        <w:noProof/>
        <w:sz w:val="20"/>
        <w:szCs w:val="20"/>
        <w:lang w:eastAsia="en-GB"/>
      </w:rPr>
      <w:drawing>
        <wp:anchor distT="0" distB="0" distL="114300" distR="114300" simplePos="0" relativeHeight="251662336" behindDoc="1" locked="1" layoutInCell="1" allowOverlap="1" wp14:anchorId="57BDC97C" wp14:editId="26E77AA2">
          <wp:simplePos x="0" y="0"/>
          <wp:positionH relativeFrom="column">
            <wp:posOffset>3944620</wp:posOffset>
          </wp:positionH>
          <wp:positionV relativeFrom="page">
            <wp:posOffset>694690</wp:posOffset>
          </wp:positionV>
          <wp:extent cx="2375535" cy="949960"/>
          <wp:effectExtent l="0" t="0" r="571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75535" cy="949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0E6B" w14:textId="079EAD1F" w:rsidR="009C1AD9" w:rsidRDefault="00A572D2">
    <w:pPr>
      <w:pStyle w:val="Header"/>
    </w:pPr>
    <w:r>
      <w:rPr>
        <w:noProof/>
      </w:rPr>
      <w:pict w14:anchorId="417B5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399.6pt;height:239.7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F5CBC"/>
    <w:multiLevelType w:val="hybridMultilevel"/>
    <w:tmpl w:val="97288112"/>
    <w:lvl w:ilvl="0" w:tplc="EF3691EC">
      <w:start w:val="1"/>
      <w:numFmt w:val="decimal"/>
      <w:lvlText w:val="%1)"/>
      <w:lvlJc w:val="left"/>
      <w:pPr>
        <w:ind w:left="720" w:hanging="360"/>
      </w:pPr>
      <w:rPr>
        <w:rFonts w:ascii="Arial Narrow" w:eastAsiaTheme="minorHAnsi" w:hAnsi="Arial Narrow"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653A2"/>
    <w:multiLevelType w:val="multilevel"/>
    <w:tmpl w:val="7AF8F10A"/>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ascii="Arial" w:hAnsi="Arial" w:hint="default"/>
        <w:b w:val="0"/>
        <w:bCs w:val="0"/>
        <w:i w:val="0"/>
        <w:iCs w:val="0"/>
      </w:rPr>
    </w:lvl>
    <w:lvl w:ilvl="3">
      <w:start w:val="1"/>
      <w:numFmt w:val="decimal"/>
      <w:lvlText w:val="%1.%2.%3.%4."/>
      <w:lvlJc w:val="left"/>
      <w:pPr>
        <w:ind w:left="1134" w:hanging="1134"/>
      </w:pPr>
      <w:rPr>
        <w:rFonts w:hint="default"/>
      </w:rPr>
    </w:lvl>
    <w:lvl w:ilvl="4">
      <w:start w:val="1"/>
      <w:numFmt w:val="decimal"/>
      <w:lvlText w:val="%1.%2.%3.%4.%5."/>
      <w:lvlJc w:val="left"/>
      <w:pPr>
        <w:ind w:left="1134" w:hanging="680"/>
      </w:pPr>
      <w:rPr>
        <w:rFonts w:hint="default"/>
      </w:rPr>
    </w:lvl>
    <w:lvl w:ilvl="5">
      <w:start w:val="1"/>
      <w:numFmt w:val="decimal"/>
      <w:lvlText w:val="%1.%2.%3.%4.%5.%6."/>
      <w:lvlJc w:val="left"/>
      <w:pPr>
        <w:ind w:left="1134" w:hanging="567"/>
      </w:pPr>
      <w:rPr>
        <w:rFonts w:hint="default"/>
      </w:rPr>
    </w:lvl>
    <w:lvl w:ilvl="6">
      <w:start w:val="1"/>
      <w:numFmt w:val="decimal"/>
      <w:lvlText w:val="%1.%2.%3.%4.%5.%6.%7."/>
      <w:lvlJc w:val="left"/>
      <w:pPr>
        <w:ind w:left="1134" w:hanging="454"/>
      </w:pPr>
      <w:rPr>
        <w:rFonts w:hint="default"/>
      </w:rPr>
    </w:lvl>
    <w:lvl w:ilvl="7">
      <w:start w:val="1"/>
      <w:numFmt w:val="decimal"/>
      <w:lvlText w:val="%1.%2.%3.%4.%5.%6.%7.%8."/>
      <w:lvlJc w:val="left"/>
      <w:pPr>
        <w:ind w:left="1134" w:hanging="340"/>
      </w:pPr>
      <w:rPr>
        <w:rFonts w:hint="default"/>
      </w:rPr>
    </w:lvl>
    <w:lvl w:ilvl="8">
      <w:start w:val="1"/>
      <w:numFmt w:val="decimal"/>
      <w:lvlText w:val="%1.%2.%3.%4.%5.%6.%7.%8.%9."/>
      <w:lvlJc w:val="left"/>
      <w:pPr>
        <w:ind w:left="1134" w:hanging="227"/>
      </w:pPr>
      <w:rPr>
        <w:rFonts w:hint="default"/>
      </w:rPr>
    </w:lvl>
  </w:abstractNum>
  <w:abstractNum w:abstractNumId="2" w15:restartNumberingAfterBreak="0">
    <w:nsid w:val="40540867"/>
    <w:multiLevelType w:val="hybridMultilevel"/>
    <w:tmpl w:val="CA14F3D0"/>
    <w:lvl w:ilvl="0" w:tplc="E160C89C">
      <w:start w:val="1"/>
      <w:numFmt w:val="bullet"/>
      <w:lvlText w:val=""/>
      <w:lvlJc w:val="left"/>
      <w:pPr>
        <w:ind w:left="219" w:hanging="1134"/>
      </w:pPr>
      <w:rPr>
        <w:rFonts w:ascii="Symbol" w:hAnsi="Symbol" w:hint="default"/>
      </w:rPr>
    </w:lvl>
    <w:lvl w:ilvl="1" w:tplc="1430CE70">
      <w:start w:val="1"/>
      <w:numFmt w:val="bullet"/>
      <w:lvlText w:val="o"/>
      <w:lvlJc w:val="left"/>
      <w:pPr>
        <w:ind w:left="525" w:hanging="360"/>
      </w:pPr>
      <w:rPr>
        <w:rFonts w:ascii="Courier New" w:hAnsi="Courier New" w:cs="Courier New" w:hint="default"/>
      </w:rPr>
    </w:lvl>
    <w:lvl w:ilvl="2" w:tplc="08090005">
      <w:start w:val="1"/>
      <w:numFmt w:val="bullet"/>
      <w:lvlText w:val=""/>
      <w:lvlJc w:val="left"/>
      <w:pPr>
        <w:ind w:left="1245" w:hanging="360"/>
      </w:pPr>
      <w:rPr>
        <w:rFonts w:ascii="Wingdings" w:hAnsi="Wingdings" w:hint="default"/>
      </w:rPr>
    </w:lvl>
    <w:lvl w:ilvl="3" w:tplc="08090001" w:tentative="1">
      <w:start w:val="1"/>
      <w:numFmt w:val="bullet"/>
      <w:lvlText w:val=""/>
      <w:lvlJc w:val="left"/>
      <w:pPr>
        <w:ind w:left="1965" w:hanging="360"/>
      </w:pPr>
      <w:rPr>
        <w:rFonts w:ascii="Symbol" w:hAnsi="Symbol" w:hint="default"/>
      </w:rPr>
    </w:lvl>
    <w:lvl w:ilvl="4" w:tplc="08090003" w:tentative="1">
      <w:start w:val="1"/>
      <w:numFmt w:val="bullet"/>
      <w:lvlText w:val="o"/>
      <w:lvlJc w:val="left"/>
      <w:pPr>
        <w:ind w:left="2685" w:hanging="360"/>
      </w:pPr>
      <w:rPr>
        <w:rFonts w:ascii="Courier New" w:hAnsi="Courier New" w:cs="Courier New" w:hint="default"/>
      </w:rPr>
    </w:lvl>
    <w:lvl w:ilvl="5" w:tplc="08090005" w:tentative="1">
      <w:start w:val="1"/>
      <w:numFmt w:val="bullet"/>
      <w:lvlText w:val=""/>
      <w:lvlJc w:val="left"/>
      <w:pPr>
        <w:ind w:left="3405" w:hanging="360"/>
      </w:pPr>
      <w:rPr>
        <w:rFonts w:ascii="Wingdings" w:hAnsi="Wingdings" w:hint="default"/>
      </w:rPr>
    </w:lvl>
    <w:lvl w:ilvl="6" w:tplc="08090001" w:tentative="1">
      <w:start w:val="1"/>
      <w:numFmt w:val="bullet"/>
      <w:lvlText w:val=""/>
      <w:lvlJc w:val="left"/>
      <w:pPr>
        <w:ind w:left="4125" w:hanging="360"/>
      </w:pPr>
      <w:rPr>
        <w:rFonts w:ascii="Symbol" w:hAnsi="Symbol" w:hint="default"/>
      </w:rPr>
    </w:lvl>
    <w:lvl w:ilvl="7" w:tplc="08090003" w:tentative="1">
      <w:start w:val="1"/>
      <w:numFmt w:val="bullet"/>
      <w:lvlText w:val="o"/>
      <w:lvlJc w:val="left"/>
      <w:pPr>
        <w:ind w:left="4845" w:hanging="360"/>
      </w:pPr>
      <w:rPr>
        <w:rFonts w:ascii="Courier New" w:hAnsi="Courier New" w:cs="Courier New" w:hint="default"/>
      </w:rPr>
    </w:lvl>
    <w:lvl w:ilvl="8" w:tplc="08090005" w:tentative="1">
      <w:start w:val="1"/>
      <w:numFmt w:val="bullet"/>
      <w:lvlText w:val=""/>
      <w:lvlJc w:val="left"/>
      <w:pPr>
        <w:ind w:left="5565" w:hanging="360"/>
      </w:pPr>
      <w:rPr>
        <w:rFonts w:ascii="Wingdings" w:hAnsi="Wingdings" w:hint="default"/>
      </w:rPr>
    </w:lvl>
  </w:abstractNum>
  <w:abstractNum w:abstractNumId="3" w15:restartNumberingAfterBreak="0">
    <w:nsid w:val="438C229F"/>
    <w:multiLevelType w:val="hybridMultilevel"/>
    <w:tmpl w:val="48B80C7C"/>
    <w:lvl w:ilvl="0" w:tplc="3102A6B4">
      <w:start w:val="1"/>
      <w:numFmt w:val="lowerLetter"/>
      <w:pStyle w:val="numberedlist"/>
      <w:lvlText w:val="%1)"/>
      <w:lvlJc w:val="left"/>
      <w:pPr>
        <w:ind w:left="2268" w:hanging="1134"/>
      </w:pPr>
      <w:rPr>
        <w:rFonts w:hint="default"/>
      </w:rPr>
    </w:lvl>
    <w:lvl w:ilvl="1" w:tplc="F0E047E4">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4DE936C2"/>
    <w:multiLevelType w:val="multilevel"/>
    <w:tmpl w:val="2960D31E"/>
    <w:lvl w:ilvl="0">
      <w:start w:val="1"/>
      <w:numFmt w:val="decimal"/>
      <w:pStyle w:val="Heading1"/>
      <w:lvlText w:val="%1"/>
      <w:lvlJc w:val="left"/>
      <w:pPr>
        <w:ind w:left="4424" w:hanging="2155"/>
      </w:pPr>
      <w:rPr>
        <w:rFonts w:hint="default"/>
        <w:b/>
        <w:bCs/>
      </w:rPr>
    </w:lvl>
    <w:lvl w:ilvl="1">
      <w:start w:val="1"/>
      <w:numFmt w:val="decimal"/>
      <w:pStyle w:val="Heading2"/>
      <w:lvlText w:val="%1.%2"/>
      <w:lvlJc w:val="left"/>
      <w:pPr>
        <w:ind w:left="2269" w:firstLine="0"/>
      </w:pPr>
      <w:rPr>
        <w:rFonts w:hint="default"/>
      </w:rPr>
    </w:lvl>
    <w:lvl w:ilvl="2">
      <w:start w:val="1"/>
      <w:numFmt w:val="decimal"/>
      <w:pStyle w:val="Heading3"/>
      <w:lvlText w:val="%1.%2.%3"/>
      <w:lvlJc w:val="left"/>
      <w:pPr>
        <w:ind w:left="2989" w:hanging="720"/>
      </w:pPr>
      <w:rPr>
        <w:rFonts w:hint="default"/>
      </w:rPr>
    </w:lvl>
    <w:lvl w:ilvl="3">
      <w:start w:val="1"/>
      <w:numFmt w:val="decimal"/>
      <w:lvlText w:val="%1.%2.%3.%4"/>
      <w:lvlJc w:val="left"/>
      <w:pPr>
        <w:ind w:left="3133" w:hanging="864"/>
      </w:pPr>
      <w:rPr>
        <w:rFonts w:hint="default"/>
      </w:rPr>
    </w:lvl>
    <w:lvl w:ilvl="4">
      <w:start w:val="1"/>
      <w:numFmt w:val="decimal"/>
      <w:pStyle w:val="Heading5"/>
      <w:lvlText w:val="%1.%2.%3.%4.%5"/>
      <w:lvlJc w:val="left"/>
      <w:pPr>
        <w:ind w:left="3277" w:hanging="1008"/>
      </w:pPr>
      <w:rPr>
        <w:rFonts w:hint="default"/>
      </w:rPr>
    </w:lvl>
    <w:lvl w:ilvl="5">
      <w:start w:val="1"/>
      <w:numFmt w:val="decimal"/>
      <w:pStyle w:val="Heading6"/>
      <w:lvlText w:val="%1.%2.%3.%4.%5.%6"/>
      <w:lvlJc w:val="left"/>
      <w:pPr>
        <w:ind w:left="3421" w:hanging="1152"/>
      </w:pPr>
      <w:rPr>
        <w:rFonts w:hint="default"/>
      </w:rPr>
    </w:lvl>
    <w:lvl w:ilvl="6">
      <w:start w:val="1"/>
      <w:numFmt w:val="decimal"/>
      <w:pStyle w:val="Heading7"/>
      <w:lvlText w:val="%1.%2.%3.%4.%5.%6.%7"/>
      <w:lvlJc w:val="left"/>
      <w:pPr>
        <w:ind w:left="3565" w:hanging="1296"/>
      </w:pPr>
      <w:rPr>
        <w:rFonts w:hint="default"/>
      </w:rPr>
    </w:lvl>
    <w:lvl w:ilvl="7">
      <w:start w:val="1"/>
      <w:numFmt w:val="decimal"/>
      <w:pStyle w:val="Heading8"/>
      <w:lvlText w:val="%1.%2.%3.%4.%5.%6.%7.%8"/>
      <w:lvlJc w:val="left"/>
      <w:pPr>
        <w:ind w:left="3709" w:hanging="1440"/>
      </w:pPr>
      <w:rPr>
        <w:rFonts w:hint="default"/>
      </w:rPr>
    </w:lvl>
    <w:lvl w:ilvl="8">
      <w:start w:val="1"/>
      <w:numFmt w:val="decimal"/>
      <w:pStyle w:val="Heading9"/>
      <w:lvlText w:val="%1.%2.%3.%4.%5.%6.%7.%8.%9"/>
      <w:lvlJc w:val="left"/>
      <w:pPr>
        <w:ind w:left="3853" w:hanging="1584"/>
      </w:pPr>
      <w:rPr>
        <w:rFonts w:hint="default"/>
      </w:rPr>
    </w:lvl>
  </w:abstractNum>
  <w:abstractNum w:abstractNumId="5" w15:restartNumberingAfterBreak="0">
    <w:nsid w:val="55125A76"/>
    <w:multiLevelType w:val="hybridMultilevel"/>
    <w:tmpl w:val="497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70249"/>
    <w:multiLevelType w:val="hybridMultilevel"/>
    <w:tmpl w:val="B7301DEE"/>
    <w:lvl w:ilvl="0" w:tplc="C9C4DB1E">
      <w:start w:val="1"/>
      <w:numFmt w:val="decimal"/>
      <w:pStyle w:val="AppendixCover"/>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3A1FB6"/>
    <w:multiLevelType w:val="hybridMultilevel"/>
    <w:tmpl w:val="8BC20D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E54302"/>
    <w:multiLevelType w:val="hybridMultilevel"/>
    <w:tmpl w:val="DEC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E7395"/>
    <w:multiLevelType w:val="hybridMultilevel"/>
    <w:tmpl w:val="8A901DBE"/>
    <w:lvl w:ilvl="0" w:tplc="452039EC">
      <w:start w:val="1"/>
      <w:numFmt w:val="bullet"/>
      <w:pStyle w:val="Bulletlis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50A19"/>
    <w:multiLevelType w:val="hybridMultilevel"/>
    <w:tmpl w:val="C1520D68"/>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abstractNumId w:val="7"/>
  </w:num>
  <w:num w:numId="2">
    <w:abstractNumId w:val="8"/>
  </w:num>
  <w:num w:numId="3">
    <w:abstractNumId w:val="5"/>
  </w:num>
  <w:num w:numId="4">
    <w:abstractNumId w:val="4"/>
  </w:num>
  <w:num w:numId="5">
    <w:abstractNumId w:val="10"/>
  </w:num>
  <w:num w:numId="6">
    <w:abstractNumId w:val="4"/>
  </w:num>
  <w:num w:numId="7">
    <w:abstractNumId w:val="1"/>
  </w:num>
  <w:num w:numId="8">
    <w:abstractNumId w:val="6"/>
  </w:num>
  <w:num w:numId="9">
    <w:abstractNumId w:val="2"/>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37"/>
    <w:rsid w:val="0001749F"/>
    <w:rsid w:val="00017F37"/>
    <w:rsid w:val="00025862"/>
    <w:rsid w:val="00031A53"/>
    <w:rsid w:val="00033870"/>
    <w:rsid w:val="00034035"/>
    <w:rsid w:val="000B2DBD"/>
    <w:rsid w:val="000B39E8"/>
    <w:rsid w:val="000B4793"/>
    <w:rsid w:val="000C130F"/>
    <w:rsid w:val="000C43F3"/>
    <w:rsid w:val="00124F79"/>
    <w:rsid w:val="0017271C"/>
    <w:rsid w:val="00176A38"/>
    <w:rsid w:val="00180234"/>
    <w:rsid w:val="001A7DB6"/>
    <w:rsid w:val="001B53D5"/>
    <w:rsid w:val="001C1505"/>
    <w:rsid w:val="001C2BAE"/>
    <w:rsid w:val="001D0D8D"/>
    <w:rsid w:val="001D4A09"/>
    <w:rsid w:val="001E4EF8"/>
    <w:rsid w:val="002112AD"/>
    <w:rsid w:val="00232965"/>
    <w:rsid w:val="002707D7"/>
    <w:rsid w:val="0028477C"/>
    <w:rsid w:val="002852FF"/>
    <w:rsid w:val="00290D1C"/>
    <w:rsid w:val="00294CE7"/>
    <w:rsid w:val="002B6A2B"/>
    <w:rsid w:val="002C3A72"/>
    <w:rsid w:val="002D14FF"/>
    <w:rsid w:val="002E612B"/>
    <w:rsid w:val="002F214A"/>
    <w:rsid w:val="00324E86"/>
    <w:rsid w:val="00341E87"/>
    <w:rsid w:val="0035230C"/>
    <w:rsid w:val="00353DA9"/>
    <w:rsid w:val="00357001"/>
    <w:rsid w:val="003669D6"/>
    <w:rsid w:val="003713D0"/>
    <w:rsid w:val="003B7737"/>
    <w:rsid w:val="003E263F"/>
    <w:rsid w:val="004065D2"/>
    <w:rsid w:val="00413450"/>
    <w:rsid w:val="00417524"/>
    <w:rsid w:val="00422108"/>
    <w:rsid w:val="00422354"/>
    <w:rsid w:val="004369E5"/>
    <w:rsid w:val="0044247C"/>
    <w:rsid w:val="004447C0"/>
    <w:rsid w:val="00480A97"/>
    <w:rsid w:val="00481C05"/>
    <w:rsid w:val="00485B23"/>
    <w:rsid w:val="00491A49"/>
    <w:rsid w:val="004B07EF"/>
    <w:rsid w:val="004C05DF"/>
    <w:rsid w:val="004C1930"/>
    <w:rsid w:val="004C32AE"/>
    <w:rsid w:val="004D788E"/>
    <w:rsid w:val="00503CD5"/>
    <w:rsid w:val="0053475E"/>
    <w:rsid w:val="0054427E"/>
    <w:rsid w:val="005A180B"/>
    <w:rsid w:val="00600164"/>
    <w:rsid w:val="006408AE"/>
    <w:rsid w:val="006652E2"/>
    <w:rsid w:val="006A3E4A"/>
    <w:rsid w:val="006C0C8F"/>
    <w:rsid w:val="006C2AD4"/>
    <w:rsid w:val="006D5C30"/>
    <w:rsid w:val="006E37CE"/>
    <w:rsid w:val="006F3D88"/>
    <w:rsid w:val="006F3E58"/>
    <w:rsid w:val="00714211"/>
    <w:rsid w:val="007220A6"/>
    <w:rsid w:val="00762F76"/>
    <w:rsid w:val="00770B91"/>
    <w:rsid w:val="00774E4C"/>
    <w:rsid w:val="007825CE"/>
    <w:rsid w:val="00792A1F"/>
    <w:rsid w:val="007979A2"/>
    <w:rsid w:val="007A214C"/>
    <w:rsid w:val="007A7AFA"/>
    <w:rsid w:val="007C031D"/>
    <w:rsid w:val="007C3C2B"/>
    <w:rsid w:val="007D66DF"/>
    <w:rsid w:val="007E0862"/>
    <w:rsid w:val="0080461F"/>
    <w:rsid w:val="00815BC1"/>
    <w:rsid w:val="0082191A"/>
    <w:rsid w:val="008352B1"/>
    <w:rsid w:val="00851A7F"/>
    <w:rsid w:val="00857B0A"/>
    <w:rsid w:val="008611CB"/>
    <w:rsid w:val="008672C2"/>
    <w:rsid w:val="00867B1E"/>
    <w:rsid w:val="00870D7F"/>
    <w:rsid w:val="008A0DB2"/>
    <w:rsid w:val="008C7350"/>
    <w:rsid w:val="008D2DB8"/>
    <w:rsid w:val="008F681B"/>
    <w:rsid w:val="0090203A"/>
    <w:rsid w:val="00915A30"/>
    <w:rsid w:val="009464F3"/>
    <w:rsid w:val="009645C9"/>
    <w:rsid w:val="00981853"/>
    <w:rsid w:val="00987982"/>
    <w:rsid w:val="009A7A16"/>
    <w:rsid w:val="009B2E1A"/>
    <w:rsid w:val="009C1AD9"/>
    <w:rsid w:val="009D3D02"/>
    <w:rsid w:val="009D4BB2"/>
    <w:rsid w:val="009F2AC4"/>
    <w:rsid w:val="009F2ED1"/>
    <w:rsid w:val="00A045F1"/>
    <w:rsid w:val="00A06739"/>
    <w:rsid w:val="00A14E33"/>
    <w:rsid w:val="00A27518"/>
    <w:rsid w:val="00A43FD4"/>
    <w:rsid w:val="00A572D2"/>
    <w:rsid w:val="00A64FB9"/>
    <w:rsid w:val="00A85B40"/>
    <w:rsid w:val="00AC447F"/>
    <w:rsid w:val="00AD370D"/>
    <w:rsid w:val="00AE618E"/>
    <w:rsid w:val="00AF329D"/>
    <w:rsid w:val="00B16D30"/>
    <w:rsid w:val="00B17D3F"/>
    <w:rsid w:val="00B3747D"/>
    <w:rsid w:val="00B5342A"/>
    <w:rsid w:val="00B55AA5"/>
    <w:rsid w:val="00B57DF0"/>
    <w:rsid w:val="00B74D84"/>
    <w:rsid w:val="00B84251"/>
    <w:rsid w:val="00B912C2"/>
    <w:rsid w:val="00B9309D"/>
    <w:rsid w:val="00BA606A"/>
    <w:rsid w:val="00BA6AF6"/>
    <w:rsid w:val="00BC383E"/>
    <w:rsid w:val="00BC5A9F"/>
    <w:rsid w:val="00BE0956"/>
    <w:rsid w:val="00BE791A"/>
    <w:rsid w:val="00C1389A"/>
    <w:rsid w:val="00C44637"/>
    <w:rsid w:val="00C60EB8"/>
    <w:rsid w:val="00C6338D"/>
    <w:rsid w:val="00CA22FB"/>
    <w:rsid w:val="00CC1038"/>
    <w:rsid w:val="00CC356F"/>
    <w:rsid w:val="00CF2843"/>
    <w:rsid w:val="00D04E9D"/>
    <w:rsid w:val="00D23F51"/>
    <w:rsid w:val="00D33F4D"/>
    <w:rsid w:val="00D35EF5"/>
    <w:rsid w:val="00D51A2A"/>
    <w:rsid w:val="00D809BD"/>
    <w:rsid w:val="00D84FC0"/>
    <w:rsid w:val="00D85B8B"/>
    <w:rsid w:val="00D92CFA"/>
    <w:rsid w:val="00DB20E8"/>
    <w:rsid w:val="00DB4433"/>
    <w:rsid w:val="00DC0112"/>
    <w:rsid w:val="00DC1199"/>
    <w:rsid w:val="00DE538C"/>
    <w:rsid w:val="00E11ADE"/>
    <w:rsid w:val="00E14008"/>
    <w:rsid w:val="00E33C36"/>
    <w:rsid w:val="00E34EBB"/>
    <w:rsid w:val="00E37595"/>
    <w:rsid w:val="00E4112A"/>
    <w:rsid w:val="00E42703"/>
    <w:rsid w:val="00EC7255"/>
    <w:rsid w:val="00EE273A"/>
    <w:rsid w:val="00EE3D91"/>
    <w:rsid w:val="00EF6C00"/>
    <w:rsid w:val="00EF7A8C"/>
    <w:rsid w:val="00F0160B"/>
    <w:rsid w:val="00F13578"/>
    <w:rsid w:val="00F20D37"/>
    <w:rsid w:val="00F50840"/>
    <w:rsid w:val="00F50844"/>
    <w:rsid w:val="00F745B4"/>
    <w:rsid w:val="00F7564A"/>
    <w:rsid w:val="00F94DD6"/>
    <w:rsid w:val="00FE0453"/>
    <w:rsid w:val="00FE26FF"/>
    <w:rsid w:val="00FE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5D2B19"/>
  <w15:docId w15:val="{0AB33D62-C04A-48EC-B389-20F33B43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FA"/>
    <w:rPr>
      <w:rFonts w:ascii="Arial" w:hAnsi="Arial"/>
    </w:rPr>
  </w:style>
  <w:style w:type="paragraph" w:styleId="Heading1">
    <w:name w:val="heading 1"/>
    <w:basedOn w:val="Normal"/>
    <w:next w:val="Normal"/>
    <w:link w:val="Heading1Char"/>
    <w:uiPriority w:val="9"/>
    <w:qFormat/>
    <w:rsid w:val="004065D2"/>
    <w:pPr>
      <w:keepNext/>
      <w:keepLines/>
      <w:numPr>
        <w:numId w:val="4"/>
      </w:numPr>
      <w:spacing w:before="360" w:after="120"/>
      <w:ind w:left="1418" w:hanging="1418"/>
      <w:jc w:val="both"/>
      <w:outlineLvl w:val="0"/>
    </w:pPr>
    <w:rPr>
      <w:rFonts w:eastAsiaTheme="majorEastAsia" w:cs="Arial"/>
      <w:b/>
      <w:sz w:val="28"/>
      <w:szCs w:val="32"/>
      <w:lang w:bidi="en-US"/>
    </w:rPr>
  </w:style>
  <w:style w:type="paragraph" w:styleId="Heading2">
    <w:name w:val="heading 2"/>
    <w:basedOn w:val="Normal"/>
    <w:next w:val="Normal"/>
    <w:link w:val="Heading2Char"/>
    <w:uiPriority w:val="9"/>
    <w:unhideWhenUsed/>
    <w:qFormat/>
    <w:rsid w:val="009C1AD9"/>
    <w:pPr>
      <w:numPr>
        <w:ilvl w:val="1"/>
        <w:numId w:val="4"/>
      </w:numPr>
      <w:spacing w:after="120"/>
      <w:ind w:left="1418" w:hanging="1418"/>
      <w:outlineLvl w:val="1"/>
    </w:pPr>
    <w:rPr>
      <w:rFonts w:eastAsiaTheme="minorEastAsia" w:cs="Arial"/>
      <w:b/>
      <w:spacing w:val="15"/>
      <w:sz w:val="24"/>
      <w:szCs w:val="24"/>
      <w:lang w:bidi="en-US"/>
    </w:rPr>
  </w:style>
  <w:style w:type="paragraph" w:styleId="Heading3">
    <w:name w:val="heading 3"/>
    <w:basedOn w:val="Normal"/>
    <w:next w:val="Normal"/>
    <w:link w:val="Heading3Char"/>
    <w:uiPriority w:val="9"/>
    <w:unhideWhenUsed/>
    <w:qFormat/>
    <w:rsid w:val="003B7737"/>
    <w:pPr>
      <w:numPr>
        <w:ilvl w:val="2"/>
        <w:numId w:val="4"/>
      </w:numPr>
      <w:spacing w:before="300" w:after="0"/>
      <w:ind w:left="1418" w:hanging="1418"/>
      <w:outlineLvl w:val="2"/>
    </w:pPr>
    <w:rPr>
      <w:rFonts w:eastAsiaTheme="minorEastAsia" w:cs="Arial"/>
      <w:b/>
      <w:lang w:bidi="en-US"/>
    </w:rPr>
  </w:style>
  <w:style w:type="paragraph" w:styleId="Heading4">
    <w:name w:val="heading 4"/>
    <w:basedOn w:val="Normal"/>
    <w:next w:val="Normal"/>
    <w:link w:val="Heading4Char"/>
    <w:uiPriority w:val="9"/>
    <w:unhideWhenUsed/>
    <w:qFormat/>
    <w:rsid w:val="004065D2"/>
    <w:pPr>
      <w:spacing w:before="120"/>
      <w:jc w:val="both"/>
      <w:outlineLvl w:val="3"/>
    </w:pPr>
    <w:rPr>
      <w:rFonts w:cs="Arial"/>
      <w:b/>
      <w:bCs/>
    </w:rPr>
  </w:style>
  <w:style w:type="paragraph" w:styleId="Heading5">
    <w:name w:val="heading 5"/>
    <w:basedOn w:val="Normal"/>
    <w:next w:val="Normal"/>
    <w:link w:val="Heading5Char"/>
    <w:uiPriority w:val="9"/>
    <w:semiHidden/>
    <w:unhideWhenUsed/>
    <w:qFormat/>
    <w:rsid w:val="007E0862"/>
    <w:pPr>
      <w:keepNext/>
      <w:keepLines/>
      <w:numPr>
        <w:ilvl w:val="4"/>
        <w:numId w:val="4"/>
      </w:numPr>
      <w:spacing w:before="40" w:after="0"/>
      <w:outlineLvl w:val="4"/>
    </w:pPr>
    <w:rPr>
      <w:rFonts w:asciiTheme="majorHAnsi" w:eastAsiaTheme="majorEastAsia" w:hAnsiTheme="majorHAnsi" w:cstheme="majorBidi"/>
      <w:color w:val="365F91" w:themeColor="accent1" w:themeShade="BF"/>
      <w:sz w:val="20"/>
      <w:szCs w:val="20"/>
      <w:lang w:bidi="en-US"/>
    </w:rPr>
  </w:style>
  <w:style w:type="paragraph" w:styleId="Heading6">
    <w:name w:val="heading 6"/>
    <w:basedOn w:val="Normal"/>
    <w:next w:val="Normal"/>
    <w:link w:val="Heading6Char"/>
    <w:uiPriority w:val="9"/>
    <w:semiHidden/>
    <w:unhideWhenUsed/>
    <w:qFormat/>
    <w:rsid w:val="007E0862"/>
    <w:pPr>
      <w:keepNext/>
      <w:keepLines/>
      <w:numPr>
        <w:ilvl w:val="5"/>
        <w:numId w:val="4"/>
      </w:numPr>
      <w:spacing w:before="40" w:after="0"/>
      <w:outlineLvl w:val="5"/>
    </w:pPr>
    <w:rPr>
      <w:rFonts w:asciiTheme="majorHAnsi" w:eastAsiaTheme="majorEastAsia" w:hAnsiTheme="majorHAnsi" w:cstheme="majorBidi"/>
      <w:color w:val="243F60" w:themeColor="accent1" w:themeShade="7F"/>
      <w:sz w:val="20"/>
      <w:szCs w:val="20"/>
      <w:lang w:bidi="en-US"/>
    </w:rPr>
  </w:style>
  <w:style w:type="paragraph" w:styleId="Heading7">
    <w:name w:val="heading 7"/>
    <w:basedOn w:val="Normal"/>
    <w:next w:val="Normal"/>
    <w:link w:val="Heading7Char"/>
    <w:uiPriority w:val="9"/>
    <w:semiHidden/>
    <w:unhideWhenUsed/>
    <w:qFormat/>
    <w:rsid w:val="007E086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sz w:val="20"/>
      <w:szCs w:val="20"/>
      <w:lang w:bidi="en-US"/>
    </w:rPr>
  </w:style>
  <w:style w:type="paragraph" w:styleId="Heading8">
    <w:name w:val="heading 8"/>
    <w:basedOn w:val="Normal"/>
    <w:next w:val="Normal"/>
    <w:link w:val="Heading8Char"/>
    <w:uiPriority w:val="9"/>
    <w:semiHidden/>
    <w:unhideWhenUsed/>
    <w:qFormat/>
    <w:rsid w:val="007E086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lang w:bidi="en-US"/>
    </w:rPr>
  </w:style>
  <w:style w:type="paragraph" w:styleId="Heading9">
    <w:name w:val="heading 9"/>
    <w:basedOn w:val="Normal"/>
    <w:next w:val="Normal"/>
    <w:link w:val="Heading9Char"/>
    <w:uiPriority w:val="9"/>
    <w:semiHidden/>
    <w:unhideWhenUsed/>
    <w:qFormat/>
    <w:rsid w:val="007E086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DF"/>
    <w:rPr>
      <w:rFonts w:ascii="Tahoma" w:hAnsi="Tahoma" w:cs="Tahoma"/>
      <w:sz w:val="16"/>
      <w:szCs w:val="16"/>
    </w:rPr>
  </w:style>
  <w:style w:type="paragraph" w:styleId="Header">
    <w:name w:val="header"/>
    <w:basedOn w:val="Normal"/>
    <w:link w:val="HeaderChar"/>
    <w:uiPriority w:val="99"/>
    <w:unhideWhenUsed/>
    <w:rsid w:val="00A64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4FB9"/>
  </w:style>
  <w:style w:type="paragraph" w:styleId="Footer">
    <w:name w:val="footer"/>
    <w:basedOn w:val="Normal"/>
    <w:link w:val="FooterChar"/>
    <w:uiPriority w:val="99"/>
    <w:unhideWhenUsed/>
    <w:rsid w:val="00A64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4FB9"/>
  </w:style>
  <w:style w:type="paragraph" w:styleId="ListParagraph">
    <w:name w:val="List Paragraph"/>
    <w:aliases w:val="Numbered List,Numbered Paras,Recommendatio,Dot pt,No Spacing1,List Paragraph Char Char Char,Indicator Text,Numbered Para 1,List Paragraph1,Bullet 1,Bullet Points,MAIN CONTENT,F5 List Paragraph,List Paragraph2,List Paragraph12"/>
    <w:basedOn w:val="Normal"/>
    <w:link w:val="ListParagraphChar"/>
    <w:uiPriority w:val="34"/>
    <w:qFormat/>
    <w:rsid w:val="00DB20E8"/>
    <w:pPr>
      <w:ind w:left="720"/>
      <w:contextualSpacing/>
    </w:pPr>
  </w:style>
  <w:style w:type="character" w:customStyle="1" w:styleId="Heading1Char">
    <w:name w:val="Heading 1 Char"/>
    <w:basedOn w:val="DefaultParagraphFont"/>
    <w:link w:val="Heading1"/>
    <w:uiPriority w:val="9"/>
    <w:rsid w:val="004065D2"/>
    <w:rPr>
      <w:rFonts w:ascii="Arial" w:eastAsiaTheme="majorEastAsia" w:hAnsi="Arial" w:cs="Arial"/>
      <w:b/>
      <w:sz w:val="28"/>
      <w:szCs w:val="32"/>
      <w:lang w:bidi="en-US"/>
    </w:rPr>
  </w:style>
  <w:style w:type="character" w:customStyle="1" w:styleId="Heading2Char">
    <w:name w:val="Heading 2 Char"/>
    <w:basedOn w:val="DefaultParagraphFont"/>
    <w:link w:val="Heading2"/>
    <w:uiPriority w:val="9"/>
    <w:rsid w:val="009C1AD9"/>
    <w:rPr>
      <w:rFonts w:ascii="Arial" w:eastAsiaTheme="minorEastAsia" w:hAnsi="Arial" w:cs="Arial"/>
      <w:b/>
      <w:spacing w:val="15"/>
      <w:sz w:val="24"/>
      <w:szCs w:val="24"/>
      <w:lang w:bidi="en-US"/>
    </w:rPr>
  </w:style>
  <w:style w:type="character" w:customStyle="1" w:styleId="Heading3Char">
    <w:name w:val="Heading 3 Char"/>
    <w:basedOn w:val="DefaultParagraphFont"/>
    <w:link w:val="Heading3"/>
    <w:uiPriority w:val="9"/>
    <w:rsid w:val="003B7737"/>
    <w:rPr>
      <w:rFonts w:ascii="Arial" w:eastAsiaTheme="minorEastAsia" w:hAnsi="Arial" w:cs="Arial"/>
      <w:b/>
      <w:lang w:bidi="en-US"/>
    </w:rPr>
  </w:style>
  <w:style w:type="character" w:customStyle="1" w:styleId="Heading4Char">
    <w:name w:val="Heading 4 Char"/>
    <w:basedOn w:val="DefaultParagraphFont"/>
    <w:link w:val="Heading4"/>
    <w:uiPriority w:val="9"/>
    <w:rsid w:val="004065D2"/>
    <w:rPr>
      <w:rFonts w:ascii="Arial" w:hAnsi="Arial" w:cs="Arial"/>
      <w:b/>
      <w:bCs/>
    </w:rPr>
  </w:style>
  <w:style w:type="character" w:customStyle="1" w:styleId="Heading5Char">
    <w:name w:val="Heading 5 Char"/>
    <w:basedOn w:val="DefaultParagraphFont"/>
    <w:link w:val="Heading5"/>
    <w:uiPriority w:val="9"/>
    <w:semiHidden/>
    <w:rsid w:val="007E0862"/>
    <w:rPr>
      <w:rFonts w:asciiTheme="majorHAnsi" w:eastAsiaTheme="majorEastAsia" w:hAnsiTheme="majorHAnsi" w:cstheme="majorBidi"/>
      <w:color w:val="365F91" w:themeColor="accent1" w:themeShade="BF"/>
      <w:sz w:val="20"/>
      <w:szCs w:val="20"/>
      <w:lang w:bidi="en-US"/>
    </w:rPr>
  </w:style>
  <w:style w:type="character" w:customStyle="1" w:styleId="Heading6Char">
    <w:name w:val="Heading 6 Char"/>
    <w:basedOn w:val="DefaultParagraphFont"/>
    <w:link w:val="Heading6"/>
    <w:uiPriority w:val="9"/>
    <w:semiHidden/>
    <w:rsid w:val="007E0862"/>
    <w:rPr>
      <w:rFonts w:asciiTheme="majorHAnsi" w:eastAsiaTheme="majorEastAsia" w:hAnsiTheme="majorHAnsi" w:cstheme="majorBidi"/>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7E0862"/>
    <w:rPr>
      <w:rFonts w:asciiTheme="majorHAnsi" w:eastAsiaTheme="majorEastAsia" w:hAnsiTheme="majorHAnsi" w:cstheme="majorBidi"/>
      <w:i/>
      <w:iCs/>
      <w:color w:val="243F60" w:themeColor="accent1" w:themeShade="7F"/>
      <w:sz w:val="20"/>
      <w:szCs w:val="20"/>
      <w:lang w:bidi="en-US"/>
    </w:rPr>
  </w:style>
  <w:style w:type="character" w:customStyle="1" w:styleId="Heading8Char">
    <w:name w:val="Heading 8 Char"/>
    <w:basedOn w:val="DefaultParagraphFont"/>
    <w:link w:val="Heading8"/>
    <w:uiPriority w:val="9"/>
    <w:semiHidden/>
    <w:rsid w:val="007E086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7E0862"/>
    <w:rPr>
      <w:rFonts w:asciiTheme="majorHAnsi" w:eastAsiaTheme="majorEastAsia" w:hAnsiTheme="majorHAnsi" w:cstheme="majorBidi"/>
      <w:i/>
      <w:iCs/>
      <w:color w:val="272727" w:themeColor="text1" w:themeTint="D8"/>
      <w:sz w:val="21"/>
      <w:szCs w:val="21"/>
      <w:lang w:bidi="en-US"/>
    </w:rPr>
  </w:style>
  <w:style w:type="character" w:customStyle="1" w:styleId="ListParagraphChar">
    <w:name w:val="List Paragraph Char"/>
    <w:aliases w:val="Numbered List Char,Numbered Paras Char,Recommendatio Char,Dot pt Char,No Spacing1 Char,List Paragraph Char Char Char Char,Indicator Text Char,Numbered Para 1 Char,List Paragraph1 Char,Bullet 1 Char,Bullet Points Char"/>
    <w:basedOn w:val="DefaultParagraphFont"/>
    <w:link w:val="ListParagraph"/>
    <w:uiPriority w:val="34"/>
    <w:qFormat/>
    <w:locked/>
    <w:rsid w:val="007E0862"/>
  </w:style>
  <w:style w:type="paragraph" w:styleId="Title">
    <w:name w:val="Title"/>
    <w:basedOn w:val="Normal"/>
    <w:next w:val="Normal"/>
    <w:link w:val="TitleChar"/>
    <w:uiPriority w:val="10"/>
    <w:qFormat/>
    <w:rsid w:val="007E0862"/>
    <w:pPr>
      <w:spacing w:after="0" w:line="240" w:lineRule="auto"/>
      <w:contextualSpacing/>
    </w:pPr>
    <w:rPr>
      <w:rFonts w:asciiTheme="majorHAnsi" w:eastAsiaTheme="majorEastAsia" w:hAnsiTheme="majorHAnsi" w:cstheme="majorBidi"/>
      <w:spacing w:val="-10"/>
      <w:kern w:val="28"/>
      <w:sz w:val="56"/>
      <w:szCs w:val="56"/>
      <w:lang w:bidi="en-US"/>
    </w:rPr>
  </w:style>
  <w:style w:type="character" w:customStyle="1" w:styleId="TitleChar">
    <w:name w:val="Title Char"/>
    <w:basedOn w:val="DefaultParagraphFont"/>
    <w:link w:val="Title"/>
    <w:uiPriority w:val="10"/>
    <w:rsid w:val="007E0862"/>
    <w:rPr>
      <w:rFonts w:asciiTheme="majorHAnsi" w:eastAsiaTheme="majorEastAsia" w:hAnsiTheme="majorHAnsi" w:cstheme="majorBidi"/>
      <w:spacing w:val="-10"/>
      <w:kern w:val="28"/>
      <w:sz w:val="56"/>
      <w:szCs w:val="56"/>
      <w:lang w:bidi="en-US"/>
    </w:rPr>
  </w:style>
  <w:style w:type="paragraph" w:customStyle="1" w:styleId="Listparasubsequentlevels">
    <w:name w:val="List para subsequent levels"/>
    <w:basedOn w:val="Normal"/>
    <w:qFormat/>
    <w:rsid w:val="00D92CFA"/>
    <w:pPr>
      <w:spacing w:before="240" w:after="180" w:line="240" w:lineRule="auto"/>
      <w:ind w:left="1134" w:hanging="1134"/>
      <w:jc w:val="both"/>
      <w:outlineLvl w:val="2"/>
    </w:pPr>
    <w:rPr>
      <w:rFonts w:ascii="Sofia Pro Light" w:hAnsi="Sofia Pro Light"/>
      <w:color w:val="000000" w:themeColor="text1"/>
      <w:szCs w:val="24"/>
    </w:rPr>
  </w:style>
  <w:style w:type="paragraph" w:customStyle="1" w:styleId="Tablebody">
    <w:name w:val="Table body"/>
    <w:basedOn w:val="Normal"/>
    <w:autoRedefine/>
    <w:qFormat/>
    <w:locked/>
    <w:rsid w:val="007D66DF"/>
    <w:pPr>
      <w:spacing w:after="0" w:line="240" w:lineRule="auto"/>
    </w:pPr>
    <w:rPr>
      <w:rFonts w:ascii="Arial Narrow" w:hAnsi="Arial Narrow"/>
      <w:color w:val="000000" w:themeColor="text1"/>
      <w:sz w:val="20"/>
      <w:szCs w:val="24"/>
    </w:rPr>
  </w:style>
  <w:style w:type="paragraph" w:styleId="Caption">
    <w:name w:val="caption"/>
    <w:aliases w:val="Table heading"/>
    <w:basedOn w:val="Normal"/>
    <w:next w:val="Normal"/>
    <w:uiPriority w:val="35"/>
    <w:unhideWhenUsed/>
    <w:qFormat/>
    <w:rsid w:val="00D92CFA"/>
    <w:pPr>
      <w:keepNext/>
      <w:spacing w:before="240" w:after="120" w:line="240" w:lineRule="auto"/>
      <w:ind w:left="1134"/>
      <w:jc w:val="both"/>
    </w:pPr>
    <w:rPr>
      <w:rFonts w:ascii="Montserrat" w:hAnsi="Montserrat"/>
      <w:iCs/>
      <w:color w:val="000000" w:themeColor="text1"/>
      <w:sz w:val="20"/>
      <w:szCs w:val="18"/>
      <w:lang w:val="en-US"/>
    </w:rPr>
  </w:style>
  <w:style w:type="table" w:customStyle="1" w:styleId="SH1">
    <w:name w:val="SH 1"/>
    <w:basedOn w:val="TableNormal"/>
    <w:uiPriority w:val="99"/>
    <w:locked/>
    <w:rsid w:val="00D92CFA"/>
    <w:pPr>
      <w:spacing w:after="0" w:line="240" w:lineRule="auto"/>
    </w:pPr>
    <w:rPr>
      <w:sz w:val="24"/>
      <w:szCs w:val="24"/>
      <w:lang w:val="en-US"/>
    </w:rPr>
    <w:tblPr>
      <w:tblBorders>
        <w:insideH w:val="single" w:sz="4" w:space="0" w:color="FFFFFF" w:themeColor="background1"/>
        <w:insideV w:val="single" w:sz="4" w:space="0" w:color="FFFFFF" w:themeColor="background1"/>
      </w:tblBorders>
    </w:tblPr>
    <w:tblStylePr w:type="firstRow">
      <w:rPr>
        <w:rFonts w:asciiTheme="minorHAnsi" w:hAnsiTheme="minorHAnsi"/>
        <w:sz w:val="18"/>
      </w:rPr>
      <w:tblPr/>
      <w:tcPr>
        <w:tcBorders>
          <w:insideV w:val="single" w:sz="4" w:space="0" w:color="FFFFFF"/>
        </w:tcBorders>
        <w:shd w:val="clear" w:color="auto" w:fill="FFFFFF" w:themeFill="background1"/>
      </w:tcPr>
    </w:tblStylePr>
  </w:style>
  <w:style w:type="paragraph" w:customStyle="1" w:styleId="Tablehead">
    <w:name w:val="Table head"/>
    <w:basedOn w:val="Tablebody"/>
    <w:autoRedefine/>
    <w:qFormat/>
    <w:locked/>
    <w:rsid w:val="007D66DF"/>
    <w:pPr>
      <w:keepNext/>
    </w:pPr>
    <w:rPr>
      <w:rFonts w:ascii="Arial" w:hAnsi="Arial"/>
      <w:color w:val="FFFFFF"/>
    </w:rPr>
  </w:style>
  <w:style w:type="paragraph" w:customStyle="1" w:styleId="AppendixCover">
    <w:name w:val="Appendix Cover"/>
    <w:basedOn w:val="Heading2"/>
    <w:next w:val="Normal"/>
    <w:qFormat/>
    <w:rsid w:val="00D92CFA"/>
    <w:pPr>
      <w:keepLines/>
      <w:widowControl w:val="0"/>
      <w:numPr>
        <w:ilvl w:val="0"/>
        <w:numId w:val="8"/>
      </w:numPr>
      <w:spacing w:before="6400" w:line="288" w:lineRule="auto"/>
      <w:ind w:left="0" w:firstLine="0"/>
      <w:jc w:val="both"/>
      <w:outlineLvl w:val="9"/>
    </w:pPr>
    <w:rPr>
      <w:rFonts w:ascii="Montserrat" w:eastAsiaTheme="majorEastAsia" w:hAnsi="Montserrat" w:cstheme="majorBidi"/>
      <w:b w:val="0"/>
      <w:color w:val="FFFFFF" w:themeColor="background1"/>
      <w:spacing w:val="0"/>
      <w:sz w:val="40"/>
      <w:szCs w:val="26"/>
      <w:lang w:val="en-US" w:bidi="ar-SA"/>
    </w:rPr>
  </w:style>
  <w:style w:type="paragraph" w:customStyle="1" w:styleId="numberedlist">
    <w:name w:val="numbered list"/>
    <w:basedOn w:val="ListParagraph"/>
    <w:qFormat/>
    <w:rsid w:val="003B7737"/>
    <w:pPr>
      <w:numPr>
        <w:numId w:val="11"/>
      </w:numPr>
      <w:spacing w:before="120" w:after="120" w:line="240" w:lineRule="auto"/>
      <w:ind w:left="1418" w:hanging="851"/>
      <w:contextualSpacing w:val="0"/>
      <w:jc w:val="both"/>
    </w:pPr>
    <w:rPr>
      <w:color w:val="000000" w:themeColor="text1"/>
      <w:szCs w:val="24"/>
      <w:lang w:val="en-US"/>
    </w:rPr>
  </w:style>
  <w:style w:type="paragraph" w:customStyle="1" w:styleId="Bulletlist">
    <w:name w:val="Bullet list"/>
    <w:basedOn w:val="numberedlist"/>
    <w:qFormat/>
    <w:rsid w:val="003B7737"/>
    <w:pPr>
      <w:numPr>
        <w:numId w:val="12"/>
      </w:numPr>
      <w:ind w:left="1418" w:hanging="851"/>
    </w:pPr>
  </w:style>
  <w:style w:type="paragraph" w:customStyle="1" w:styleId="Contentstitle">
    <w:name w:val="Contents title"/>
    <w:basedOn w:val="ListParagraph"/>
    <w:next w:val="Normal"/>
    <w:qFormat/>
    <w:rsid w:val="00AF329D"/>
    <w:pPr>
      <w:spacing w:before="480" w:after="180" w:line="240" w:lineRule="auto"/>
      <w:ind w:left="0"/>
      <w:contextualSpacing w:val="0"/>
      <w:jc w:val="both"/>
      <w:outlineLvl w:val="2"/>
    </w:pPr>
    <w:rPr>
      <w:rFonts w:ascii="Montserrat" w:hAnsi="Montserrat"/>
      <w:color w:val="000000" w:themeColor="text1"/>
      <w:sz w:val="40"/>
      <w:szCs w:val="24"/>
    </w:rPr>
  </w:style>
  <w:style w:type="paragraph" w:styleId="TOC2">
    <w:name w:val="toc 2"/>
    <w:basedOn w:val="Normal"/>
    <w:next w:val="Normal"/>
    <w:uiPriority w:val="39"/>
    <w:unhideWhenUsed/>
    <w:rsid w:val="00AF329D"/>
    <w:pPr>
      <w:spacing w:before="120" w:after="0"/>
      <w:ind w:left="220"/>
    </w:pPr>
    <w:rPr>
      <w:rFonts w:asciiTheme="minorHAnsi" w:hAnsiTheme="minorHAnsi" w:cstheme="minorHAnsi"/>
      <w:b/>
      <w:bCs/>
    </w:rPr>
  </w:style>
  <w:style w:type="paragraph" w:styleId="TOC1">
    <w:name w:val="toc 1"/>
    <w:basedOn w:val="Normal"/>
    <w:next w:val="Normal"/>
    <w:uiPriority w:val="39"/>
    <w:unhideWhenUsed/>
    <w:rsid w:val="00AF329D"/>
    <w:pPr>
      <w:spacing w:before="120" w:after="0"/>
    </w:pPr>
    <w:rPr>
      <w:rFonts w:asciiTheme="minorHAnsi" w:hAnsiTheme="minorHAnsi" w:cstheme="minorHAnsi"/>
      <w:b/>
      <w:bCs/>
      <w:i/>
      <w:iCs/>
      <w:sz w:val="24"/>
      <w:szCs w:val="24"/>
    </w:rPr>
  </w:style>
  <w:style w:type="character" w:styleId="Hyperlink">
    <w:name w:val="Hyperlink"/>
    <w:basedOn w:val="DefaultParagraphFont"/>
    <w:uiPriority w:val="99"/>
    <w:unhideWhenUsed/>
    <w:rsid w:val="00AF329D"/>
    <w:rPr>
      <w:rFonts w:ascii="Arial" w:hAnsi="Arial"/>
      <w:color w:val="00B0F0"/>
      <w:sz w:val="22"/>
      <w:u w:val="single"/>
    </w:rPr>
  </w:style>
  <w:style w:type="paragraph" w:styleId="TOC3">
    <w:name w:val="toc 3"/>
    <w:basedOn w:val="Normal"/>
    <w:next w:val="Normal"/>
    <w:autoRedefine/>
    <w:uiPriority w:val="39"/>
    <w:unhideWhenUsed/>
    <w:rsid w:val="008611CB"/>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8611CB"/>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8611CB"/>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8611CB"/>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8611CB"/>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8611CB"/>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8611CB"/>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6262-BA35-488F-B70E-3DE425B4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Conesa</dc:creator>
  <cp:lastModifiedBy>Stephanie Conesa</cp:lastModifiedBy>
  <cp:revision>9</cp:revision>
  <cp:lastPrinted>2020-08-21T10:54:00Z</cp:lastPrinted>
  <dcterms:created xsi:type="dcterms:W3CDTF">2020-08-21T09:58:00Z</dcterms:created>
  <dcterms:modified xsi:type="dcterms:W3CDTF">2020-08-21T15:10:00Z</dcterms:modified>
</cp:coreProperties>
</file>