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6E1BE" w14:textId="77777777" w:rsidR="00795750" w:rsidRPr="00CB477D" w:rsidRDefault="00795750" w:rsidP="007226A4">
      <w:pPr>
        <w:rPr>
          <w:rFonts w:asciiTheme="minorHAnsi" w:hAnsiTheme="minorHAnsi"/>
          <w:b/>
          <w:i/>
          <w:sz w:val="22"/>
          <w:szCs w:val="22"/>
        </w:rPr>
      </w:pPr>
    </w:p>
    <w:p w14:paraId="36CE3FA6" w14:textId="5E1732B2" w:rsidR="00EF7B17" w:rsidRPr="00DE35A3" w:rsidRDefault="00072AF7" w:rsidP="00EF7B17">
      <w:pPr>
        <w:jc w:val="right"/>
        <w:rPr>
          <w:rFonts w:ascii="Arial" w:hAnsi="Arial" w:cs="Arial"/>
          <w:sz w:val="22"/>
          <w:szCs w:val="22"/>
        </w:rPr>
      </w:pPr>
      <w:r w:rsidRPr="00DE35A3">
        <w:rPr>
          <w:rFonts w:ascii="Arial" w:hAnsi="Arial" w:cs="Arial"/>
          <w:sz w:val="22"/>
          <w:szCs w:val="22"/>
        </w:rPr>
        <w:t>9</w:t>
      </w:r>
      <w:r w:rsidR="00DD6A13" w:rsidRPr="00DE35A3">
        <w:rPr>
          <w:rFonts w:ascii="Arial" w:hAnsi="Arial" w:cs="Arial"/>
          <w:sz w:val="22"/>
          <w:szCs w:val="22"/>
        </w:rPr>
        <w:t xml:space="preserve"> March 2020</w:t>
      </w:r>
    </w:p>
    <w:p w14:paraId="0C31416C" w14:textId="77777777" w:rsidR="009E51F1" w:rsidRPr="00DE35A3" w:rsidRDefault="009E51F1" w:rsidP="007719F3">
      <w:pPr>
        <w:rPr>
          <w:rFonts w:ascii="Arial" w:hAnsi="Arial" w:cs="Arial"/>
          <w:color w:val="333333"/>
          <w:sz w:val="22"/>
          <w:szCs w:val="22"/>
        </w:rPr>
      </w:pPr>
    </w:p>
    <w:p w14:paraId="58F9700E" w14:textId="538F34A0" w:rsidR="009E51F1" w:rsidRPr="00DE35A3" w:rsidRDefault="00DD6A13" w:rsidP="00B34A72">
      <w:pPr>
        <w:rPr>
          <w:rFonts w:ascii="Arial" w:hAnsi="Arial" w:cs="Arial"/>
          <w:b/>
          <w:sz w:val="32"/>
          <w:szCs w:val="32"/>
        </w:rPr>
      </w:pPr>
      <w:r w:rsidRPr="00DE35A3">
        <w:rPr>
          <w:rFonts w:ascii="Arial" w:hAnsi="Arial" w:cs="Arial"/>
          <w:b/>
          <w:sz w:val="32"/>
          <w:szCs w:val="32"/>
        </w:rPr>
        <w:t>Response to Marine Scotland Offshore Renewables Decommissioning Guidance Consultation</w:t>
      </w:r>
    </w:p>
    <w:p w14:paraId="64902281" w14:textId="0888931F" w:rsidR="009E51F1" w:rsidRPr="00DE35A3" w:rsidRDefault="009E51F1" w:rsidP="009E51F1">
      <w:pPr>
        <w:jc w:val="center"/>
        <w:rPr>
          <w:rFonts w:ascii="Arial" w:hAnsi="Arial" w:cs="Arial"/>
          <w:b/>
          <w:sz w:val="22"/>
          <w:szCs w:val="22"/>
        </w:rPr>
      </w:pPr>
    </w:p>
    <w:p w14:paraId="06BB9DF2" w14:textId="77777777" w:rsidR="00DD6A13" w:rsidRPr="00CB6D1F" w:rsidRDefault="00DD6A13" w:rsidP="00DD6A13">
      <w:pPr>
        <w:jc w:val="both"/>
        <w:rPr>
          <w:rFonts w:ascii="Arial" w:hAnsi="Arial" w:cs="Arial"/>
          <w:b/>
          <w:bCs/>
          <w:sz w:val="22"/>
          <w:szCs w:val="22"/>
        </w:rPr>
      </w:pPr>
      <w:r w:rsidRPr="00CB6D1F">
        <w:rPr>
          <w:rFonts w:ascii="Arial" w:hAnsi="Arial" w:cs="Arial"/>
          <w:b/>
          <w:bCs/>
          <w:szCs w:val="24"/>
        </w:rPr>
        <w:t>Scottish Renewables</w:t>
      </w:r>
    </w:p>
    <w:p w14:paraId="66A6FCA4" w14:textId="77777777" w:rsidR="00DD6A13" w:rsidRPr="00CB6D1F" w:rsidRDefault="00DD6A13" w:rsidP="00DD6A13">
      <w:pPr>
        <w:jc w:val="both"/>
        <w:rPr>
          <w:rFonts w:ascii="Arial" w:hAnsi="Arial" w:cs="Arial"/>
          <w:b/>
          <w:bCs/>
          <w:sz w:val="22"/>
          <w:szCs w:val="22"/>
        </w:rPr>
      </w:pPr>
    </w:p>
    <w:p w14:paraId="4DEEFD79" w14:textId="77777777" w:rsidR="002249C1" w:rsidRPr="00CB6D1F" w:rsidRDefault="002249C1" w:rsidP="002249C1">
      <w:pPr>
        <w:jc w:val="both"/>
        <w:rPr>
          <w:rFonts w:ascii="Arial" w:hAnsi="Arial" w:cs="Arial"/>
          <w:sz w:val="22"/>
          <w:szCs w:val="22"/>
        </w:rPr>
      </w:pPr>
      <w:r w:rsidRPr="00CB6D1F">
        <w:rPr>
          <w:rFonts w:ascii="Arial" w:hAnsi="Arial" w:cs="Arial"/>
          <w:sz w:val="22"/>
          <w:szCs w:val="22"/>
        </w:rPr>
        <w:t>Scottish Renewables is the voice of Scotland’s renewable energy industry, working to grow the sector and sustain its position at the forefront of the global clean energy industry. We represent around 260 organisations working across the full range of renewable energy technologies in Scotland and around the world, from large suppliers, operators and manufacturers to small developers, installers and community groups and companies right across the supply chain.</w:t>
      </w:r>
    </w:p>
    <w:p w14:paraId="72E9CC09" w14:textId="77777777" w:rsidR="00DD6A13" w:rsidRPr="00CB6D1F" w:rsidRDefault="00DD6A13" w:rsidP="00DD6A13">
      <w:pPr>
        <w:jc w:val="both"/>
        <w:rPr>
          <w:rFonts w:ascii="Arial" w:hAnsi="Arial" w:cs="Arial"/>
          <w:b/>
          <w:bCs/>
          <w:color w:val="FF0000"/>
          <w:szCs w:val="24"/>
        </w:rPr>
      </w:pPr>
    </w:p>
    <w:p w14:paraId="44B0F896" w14:textId="543D5D0C" w:rsidR="00DD6A13" w:rsidRPr="00CB6D1F" w:rsidRDefault="00DD6A13" w:rsidP="003D6D3C">
      <w:pPr>
        <w:jc w:val="both"/>
        <w:rPr>
          <w:rFonts w:ascii="Arial" w:hAnsi="Arial" w:cs="Arial"/>
          <w:b/>
          <w:bCs/>
          <w:szCs w:val="24"/>
        </w:rPr>
      </w:pPr>
      <w:r w:rsidRPr="00CB6D1F">
        <w:rPr>
          <w:rFonts w:ascii="Arial" w:hAnsi="Arial" w:cs="Arial"/>
          <w:b/>
          <w:bCs/>
          <w:szCs w:val="24"/>
        </w:rPr>
        <w:t>RenewableUK</w:t>
      </w:r>
    </w:p>
    <w:p w14:paraId="512764EF" w14:textId="77777777" w:rsidR="00DD6A13" w:rsidRPr="00CB6D1F" w:rsidRDefault="00DD6A13" w:rsidP="003D6D3C">
      <w:pPr>
        <w:jc w:val="both"/>
        <w:rPr>
          <w:rFonts w:ascii="Arial" w:hAnsi="Arial" w:cs="Arial"/>
          <w:b/>
          <w:bCs/>
          <w:sz w:val="22"/>
          <w:szCs w:val="22"/>
        </w:rPr>
      </w:pPr>
    </w:p>
    <w:p w14:paraId="07527EED" w14:textId="020453D2" w:rsidR="00DE0ED9" w:rsidRPr="00CB6D1F" w:rsidRDefault="002C4CB0" w:rsidP="003D6D3C">
      <w:pPr>
        <w:jc w:val="both"/>
        <w:rPr>
          <w:rFonts w:ascii="Arial" w:hAnsi="Arial" w:cs="Arial"/>
          <w:sz w:val="22"/>
          <w:szCs w:val="22"/>
        </w:rPr>
      </w:pPr>
      <w:proofErr w:type="spellStart"/>
      <w:r w:rsidRPr="00CB6D1F">
        <w:rPr>
          <w:rFonts w:ascii="Arial" w:hAnsi="Arial" w:cs="Arial"/>
          <w:sz w:val="22"/>
          <w:szCs w:val="22"/>
        </w:rPr>
        <w:t>RenewableUK’s</w:t>
      </w:r>
      <w:proofErr w:type="spellEnd"/>
      <w:r w:rsidRPr="00CB6D1F">
        <w:rPr>
          <w:rFonts w:ascii="Arial" w:hAnsi="Arial" w:cs="Arial"/>
          <w:sz w:val="22"/>
          <w:szCs w:val="22"/>
        </w:rPr>
        <w:t xml:space="preserve"> members are building our future energy system, powered by clean electricity. We bring them together to deliver that future faster; a future which is better for industry, billpayers, and the environment. We support over 400 member companies to ensure increasing amounts of renewable electricity are deployed across the UK and to access export markets all over the world. Our members are business leaders, technology innovators, and expert thinkers from right across industry. </w:t>
      </w:r>
      <w:r w:rsidR="003B51BA" w:rsidRPr="00CB6D1F">
        <w:rPr>
          <w:rFonts w:ascii="Arial" w:hAnsi="Arial" w:cs="Arial"/>
          <w:sz w:val="22"/>
          <w:szCs w:val="22"/>
        </w:rPr>
        <w:t xml:space="preserve">On behalf of members within our Offshore Consents and Licensing Group (OCLG), the following feedback sets out several broad themes and specific questions industry has on the proposed guidance. </w:t>
      </w:r>
    </w:p>
    <w:p w14:paraId="7B105AC7" w14:textId="3D778D0A" w:rsidR="00DD6A13" w:rsidRPr="00CB6D1F" w:rsidRDefault="00DD6A13" w:rsidP="003D6D3C">
      <w:pPr>
        <w:jc w:val="both"/>
        <w:rPr>
          <w:rFonts w:ascii="Arial" w:hAnsi="Arial" w:cs="Arial"/>
          <w:sz w:val="22"/>
          <w:szCs w:val="22"/>
        </w:rPr>
      </w:pPr>
    </w:p>
    <w:p w14:paraId="4B09542E" w14:textId="77777777" w:rsidR="00DE0ED9" w:rsidRPr="00CB6D1F" w:rsidRDefault="00DE0ED9" w:rsidP="00617E89">
      <w:pPr>
        <w:rPr>
          <w:rFonts w:ascii="Arial" w:hAnsi="Arial" w:cs="Arial"/>
          <w:sz w:val="22"/>
          <w:szCs w:val="22"/>
        </w:rPr>
      </w:pPr>
    </w:p>
    <w:p w14:paraId="2536C720" w14:textId="583DFC12" w:rsidR="007226A4" w:rsidRPr="00CB6D1F" w:rsidRDefault="00DE0ED9" w:rsidP="00617E89">
      <w:pPr>
        <w:rPr>
          <w:rFonts w:ascii="Arial" w:hAnsi="Arial" w:cs="Arial"/>
          <w:b/>
          <w:szCs w:val="24"/>
        </w:rPr>
      </w:pPr>
      <w:r w:rsidRPr="00CB6D1F">
        <w:rPr>
          <w:rFonts w:ascii="Arial" w:hAnsi="Arial" w:cs="Arial"/>
          <w:b/>
          <w:szCs w:val="24"/>
        </w:rPr>
        <w:t>Summary</w:t>
      </w:r>
    </w:p>
    <w:p w14:paraId="6B41D639" w14:textId="2400AD7C" w:rsidR="00E4122A" w:rsidRPr="00CB6D1F" w:rsidRDefault="00E4122A" w:rsidP="00A8123F">
      <w:pPr>
        <w:pStyle w:val="RUK-Date"/>
        <w:jc w:val="both"/>
        <w:rPr>
          <w:sz w:val="22"/>
          <w:szCs w:val="22"/>
        </w:rPr>
      </w:pPr>
    </w:p>
    <w:p w14:paraId="548CA041" w14:textId="77777777" w:rsidR="00AC541B" w:rsidRPr="00CB6D1F" w:rsidRDefault="004E5911" w:rsidP="00AC541B">
      <w:pPr>
        <w:jc w:val="both"/>
        <w:rPr>
          <w:rFonts w:ascii="Arial" w:hAnsi="Arial" w:cs="Arial"/>
          <w:sz w:val="22"/>
          <w:szCs w:val="22"/>
        </w:rPr>
      </w:pPr>
      <w:r w:rsidRPr="00CB6D1F">
        <w:rPr>
          <w:rFonts w:ascii="Arial" w:hAnsi="Arial" w:cs="Arial"/>
          <w:sz w:val="22"/>
          <w:szCs w:val="22"/>
        </w:rPr>
        <w:t xml:space="preserve">Scottish Renewables and RenewableUK welcome the opportunity to respond to this Marine Scotland consultation on offshore renewables decommissioning guidance and welcome the development of policies and procedures for the decommissioning of offshore renewable energy projects. </w:t>
      </w:r>
    </w:p>
    <w:p w14:paraId="6462EAFD" w14:textId="77777777" w:rsidR="00AC541B" w:rsidRPr="00CB6D1F" w:rsidRDefault="00AC541B" w:rsidP="00AC541B">
      <w:pPr>
        <w:jc w:val="both"/>
        <w:rPr>
          <w:rFonts w:ascii="Arial" w:hAnsi="Arial" w:cs="Arial"/>
          <w:sz w:val="22"/>
          <w:szCs w:val="22"/>
        </w:rPr>
      </w:pPr>
    </w:p>
    <w:p w14:paraId="70513189" w14:textId="31ECCC35" w:rsidR="001C1910" w:rsidRPr="00CB6D1F" w:rsidRDefault="001C1910" w:rsidP="00AC541B">
      <w:pPr>
        <w:jc w:val="both"/>
        <w:rPr>
          <w:rFonts w:ascii="Arial" w:hAnsi="Arial" w:cs="Arial"/>
          <w:sz w:val="22"/>
          <w:szCs w:val="22"/>
        </w:rPr>
      </w:pPr>
      <w:r w:rsidRPr="00CB6D1F">
        <w:rPr>
          <w:rFonts w:ascii="Arial" w:hAnsi="Arial" w:cs="Arial"/>
          <w:sz w:val="22"/>
          <w:szCs w:val="22"/>
        </w:rPr>
        <w:t xml:space="preserve">To ensure a consistent approach for the UK, across England, Scotland and Wales, clarity in the application of the guidance will be required in addition to an effective and joined up approach between key stakeholders – namely The Crown Estate, Crown Estate Scotland, Marine Scotland and the Marine Management Organisation. </w:t>
      </w:r>
    </w:p>
    <w:p w14:paraId="42D509D9" w14:textId="01E79284" w:rsidR="00AC541B" w:rsidRPr="00CB6D1F" w:rsidRDefault="00AC541B" w:rsidP="001C1910">
      <w:pPr>
        <w:pStyle w:val="NormalWeb"/>
        <w:spacing w:before="0" w:beforeAutospacing="0" w:after="0" w:afterAutospacing="0"/>
        <w:jc w:val="both"/>
        <w:rPr>
          <w:rFonts w:ascii="Arial" w:eastAsia="Times" w:hAnsi="Arial" w:cs="Arial"/>
          <w:sz w:val="22"/>
          <w:szCs w:val="22"/>
          <w:lang w:eastAsia="en-US"/>
        </w:rPr>
      </w:pPr>
    </w:p>
    <w:p w14:paraId="2BEC8CC6" w14:textId="0B6430F8" w:rsidR="00AC541B" w:rsidRPr="00CB6D1F" w:rsidRDefault="00AC541B" w:rsidP="001C1910">
      <w:pPr>
        <w:pStyle w:val="NormalWeb"/>
        <w:spacing w:before="0" w:beforeAutospacing="0" w:after="0" w:afterAutospacing="0"/>
        <w:jc w:val="both"/>
        <w:rPr>
          <w:rFonts w:ascii="Arial" w:eastAsia="Times" w:hAnsi="Arial" w:cs="Arial"/>
          <w:sz w:val="22"/>
          <w:szCs w:val="22"/>
          <w:lang w:eastAsia="en-US"/>
        </w:rPr>
      </w:pPr>
      <w:r w:rsidRPr="00CB6D1F">
        <w:rPr>
          <w:rFonts w:ascii="Arial" w:eastAsia="Times" w:hAnsi="Arial" w:cs="Arial"/>
          <w:sz w:val="22"/>
          <w:szCs w:val="22"/>
          <w:lang w:eastAsia="en-US"/>
        </w:rPr>
        <w:t xml:space="preserve">A key concern for industry, is how commercially sensitive and confidential financial information regarding projects will be utilised and shared, noting the potential risk of such data entering the public domain. </w:t>
      </w:r>
    </w:p>
    <w:p w14:paraId="75E6416A" w14:textId="77777777" w:rsidR="001C1910" w:rsidRPr="00CB6D1F" w:rsidRDefault="001C1910" w:rsidP="001C1910">
      <w:pPr>
        <w:pStyle w:val="NormalWeb"/>
        <w:spacing w:before="0" w:beforeAutospacing="0" w:after="0" w:afterAutospacing="0"/>
        <w:jc w:val="both"/>
        <w:rPr>
          <w:rFonts w:ascii="Arial" w:eastAsia="Times" w:hAnsi="Arial" w:cs="Arial"/>
          <w:sz w:val="22"/>
          <w:szCs w:val="22"/>
          <w:lang w:eastAsia="en-US"/>
        </w:rPr>
      </w:pPr>
    </w:p>
    <w:p w14:paraId="1D686809" w14:textId="1AB40528" w:rsidR="001C1910" w:rsidRPr="00CB6D1F" w:rsidRDefault="001C1910" w:rsidP="001C1910">
      <w:pPr>
        <w:pStyle w:val="NormalWeb"/>
        <w:spacing w:before="0" w:beforeAutospacing="0" w:after="0" w:afterAutospacing="0"/>
        <w:jc w:val="both"/>
        <w:rPr>
          <w:rFonts w:ascii="Arial" w:eastAsia="Times" w:hAnsi="Arial" w:cs="Arial"/>
          <w:sz w:val="22"/>
          <w:szCs w:val="22"/>
          <w:lang w:eastAsia="en-US"/>
        </w:rPr>
      </w:pPr>
      <w:r w:rsidRPr="00CB6D1F">
        <w:rPr>
          <w:rFonts w:ascii="Arial" w:eastAsia="Times" w:hAnsi="Arial" w:cs="Arial"/>
          <w:sz w:val="22"/>
          <w:szCs w:val="22"/>
          <w:lang w:eastAsia="en-US"/>
        </w:rPr>
        <w:t>Industry would also welcome additional context of the decommissioning process within the entire construction and commissioning plans</w:t>
      </w:r>
      <w:r w:rsidR="00AC541B" w:rsidRPr="00CB6D1F">
        <w:rPr>
          <w:rFonts w:ascii="Arial" w:eastAsia="Times" w:hAnsi="Arial" w:cs="Arial"/>
          <w:sz w:val="22"/>
          <w:szCs w:val="22"/>
          <w:lang w:eastAsia="en-US"/>
        </w:rPr>
        <w:t>, noting a number of additional comments and queries at the end of this response – including, but not limited to, better understanding exemptions to full removal of infrastructure from the marine environment, given the likelihood of many offshore renewables projects to consider repowering at end of life</w:t>
      </w:r>
      <w:r w:rsidRPr="00CB6D1F">
        <w:rPr>
          <w:rFonts w:ascii="Arial" w:eastAsia="Times" w:hAnsi="Arial" w:cs="Arial"/>
          <w:sz w:val="22"/>
          <w:szCs w:val="22"/>
          <w:lang w:eastAsia="en-US"/>
        </w:rPr>
        <w:t xml:space="preserve">. </w:t>
      </w:r>
    </w:p>
    <w:p w14:paraId="5A56BA3B" w14:textId="77777777" w:rsidR="004E5911" w:rsidRPr="00CB6D1F" w:rsidRDefault="004E5911" w:rsidP="00A8123F">
      <w:pPr>
        <w:pStyle w:val="RUK-Date"/>
        <w:jc w:val="both"/>
        <w:rPr>
          <w:color w:val="FF0000"/>
          <w:sz w:val="22"/>
          <w:szCs w:val="22"/>
        </w:rPr>
      </w:pPr>
    </w:p>
    <w:p w14:paraId="7ACA5F53" w14:textId="77777777" w:rsidR="006D4E33" w:rsidRPr="00CB6D1F" w:rsidRDefault="006D4E33" w:rsidP="00A8123F">
      <w:pPr>
        <w:pStyle w:val="RUK-Date"/>
        <w:jc w:val="both"/>
        <w:rPr>
          <w:color w:val="FF0000"/>
          <w:sz w:val="22"/>
          <w:szCs w:val="22"/>
        </w:rPr>
      </w:pPr>
    </w:p>
    <w:p w14:paraId="0713308B" w14:textId="77777777" w:rsidR="006A4D57" w:rsidRPr="00CB6D1F" w:rsidRDefault="006A4D57" w:rsidP="006A4D57">
      <w:pPr>
        <w:pStyle w:val="NormalWeb"/>
        <w:spacing w:before="0" w:beforeAutospacing="0" w:after="0" w:afterAutospacing="0"/>
        <w:jc w:val="both"/>
        <w:rPr>
          <w:rFonts w:ascii="Arial" w:eastAsia="Times" w:hAnsi="Arial" w:cs="Arial"/>
          <w:b/>
          <w:sz w:val="22"/>
          <w:szCs w:val="22"/>
          <w:lang w:eastAsia="en-US"/>
        </w:rPr>
      </w:pPr>
      <w:r w:rsidRPr="00CB6D1F">
        <w:rPr>
          <w:rFonts w:ascii="Arial" w:eastAsia="Times" w:hAnsi="Arial" w:cs="Arial"/>
          <w:b/>
          <w:sz w:val="22"/>
          <w:szCs w:val="22"/>
          <w:lang w:eastAsia="en-US"/>
        </w:rPr>
        <w:t xml:space="preserve">1. This is the first version of the guidance for decommissioning offshore renewable energy installations in Scottish waters. We have, where possible, kept this in line with the UK Government’s guidance. </w:t>
      </w:r>
    </w:p>
    <w:p w14:paraId="0639FA39" w14:textId="77777777" w:rsidR="006A4D57" w:rsidRPr="00CB6D1F" w:rsidRDefault="006A4D57" w:rsidP="006A4D57">
      <w:pPr>
        <w:pStyle w:val="NormalWeb"/>
        <w:spacing w:before="0" w:beforeAutospacing="0" w:after="0" w:afterAutospacing="0"/>
        <w:jc w:val="both"/>
        <w:rPr>
          <w:rFonts w:ascii="Arial" w:eastAsia="Times" w:hAnsi="Arial" w:cs="Arial"/>
          <w:b/>
          <w:sz w:val="22"/>
          <w:szCs w:val="22"/>
          <w:lang w:eastAsia="en-US"/>
        </w:rPr>
      </w:pPr>
      <w:r w:rsidRPr="00CB6D1F">
        <w:rPr>
          <w:rFonts w:ascii="Arial" w:eastAsia="Times" w:hAnsi="Arial" w:cs="Arial"/>
          <w:b/>
          <w:sz w:val="22"/>
          <w:szCs w:val="22"/>
          <w:lang w:eastAsia="en-US"/>
        </w:rPr>
        <w:t>Do you agree or disagree with this approach?</w:t>
      </w:r>
    </w:p>
    <w:p w14:paraId="7941193F" w14:textId="77777777" w:rsidR="006A4D57" w:rsidRPr="00CB6D1F" w:rsidRDefault="006A4D57" w:rsidP="006A4D57">
      <w:pPr>
        <w:pStyle w:val="NormalWeb"/>
        <w:spacing w:before="0" w:beforeAutospacing="0" w:after="0" w:afterAutospacing="0"/>
        <w:jc w:val="both"/>
        <w:rPr>
          <w:rFonts w:ascii="Arial" w:eastAsia="Times" w:hAnsi="Arial" w:cs="Arial"/>
          <w:b/>
          <w:sz w:val="22"/>
          <w:szCs w:val="22"/>
          <w:lang w:eastAsia="en-US"/>
        </w:rPr>
      </w:pPr>
      <w:r w:rsidRPr="00CB6D1F">
        <w:rPr>
          <w:rFonts w:ascii="Arial" w:eastAsia="Times" w:hAnsi="Arial" w:cs="Arial"/>
          <w:b/>
          <w:sz w:val="22"/>
          <w:szCs w:val="22"/>
          <w:lang w:eastAsia="en-US"/>
        </w:rPr>
        <w:t xml:space="preserve">Please explain your view. </w:t>
      </w:r>
    </w:p>
    <w:p w14:paraId="4E6DFEC5" w14:textId="77777777" w:rsidR="006A4D57" w:rsidRPr="00CB6D1F" w:rsidRDefault="006A4D57" w:rsidP="006A4D57">
      <w:pPr>
        <w:pStyle w:val="NormalWeb"/>
        <w:spacing w:before="0" w:beforeAutospacing="0" w:after="0" w:afterAutospacing="0"/>
        <w:jc w:val="both"/>
        <w:rPr>
          <w:rFonts w:ascii="Arial" w:hAnsi="Arial" w:cs="Arial"/>
          <w:bCs/>
          <w:sz w:val="22"/>
          <w:szCs w:val="22"/>
        </w:rPr>
      </w:pPr>
    </w:p>
    <w:p w14:paraId="47889A6C" w14:textId="1E890C09" w:rsidR="005F412E" w:rsidRPr="00CB6D1F" w:rsidRDefault="006A4D57" w:rsidP="006D4E33">
      <w:pPr>
        <w:pStyle w:val="NormalWeb"/>
        <w:spacing w:before="0" w:beforeAutospacing="0" w:after="0" w:afterAutospacing="0"/>
        <w:jc w:val="both"/>
        <w:rPr>
          <w:rFonts w:ascii="Arial" w:eastAsia="Times" w:hAnsi="Arial" w:cs="Arial"/>
          <w:bCs/>
          <w:sz w:val="22"/>
          <w:szCs w:val="22"/>
          <w:lang w:eastAsia="en-US"/>
        </w:rPr>
      </w:pPr>
      <w:r w:rsidRPr="00CB6D1F">
        <w:rPr>
          <w:rFonts w:ascii="Arial" w:eastAsia="Times" w:hAnsi="Arial" w:cs="Arial"/>
          <w:bCs/>
          <w:sz w:val="22"/>
          <w:szCs w:val="22"/>
          <w:lang w:eastAsia="en-US"/>
        </w:rPr>
        <w:t xml:space="preserve">Agree – </w:t>
      </w:r>
      <w:r w:rsidR="006D4E33" w:rsidRPr="00CB6D1F">
        <w:rPr>
          <w:rFonts w:ascii="Arial" w:hAnsi="Arial" w:cs="Arial"/>
          <w:bCs/>
          <w:sz w:val="22"/>
          <w:szCs w:val="22"/>
        </w:rPr>
        <w:t xml:space="preserve">Industry </w:t>
      </w:r>
      <w:r w:rsidR="002A1FA3" w:rsidRPr="00CB6D1F">
        <w:rPr>
          <w:rFonts w:ascii="Arial" w:hAnsi="Arial" w:cs="Arial"/>
          <w:bCs/>
          <w:sz w:val="22"/>
          <w:szCs w:val="22"/>
        </w:rPr>
        <w:t xml:space="preserve">would welcome a </w:t>
      </w:r>
      <w:r w:rsidR="006D4E33" w:rsidRPr="00CB6D1F">
        <w:rPr>
          <w:rFonts w:ascii="Arial" w:hAnsi="Arial" w:cs="Arial"/>
          <w:bCs/>
          <w:sz w:val="22"/>
          <w:szCs w:val="22"/>
        </w:rPr>
        <w:t>broadly consistent approach to offshore renewables decommissioning in both Scotland and England</w:t>
      </w:r>
      <w:r w:rsidR="002A1FA3" w:rsidRPr="00CB6D1F">
        <w:rPr>
          <w:rFonts w:ascii="Arial" w:eastAsia="Times" w:hAnsi="Arial" w:cs="Arial"/>
          <w:bCs/>
          <w:sz w:val="22"/>
          <w:szCs w:val="22"/>
          <w:lang w:eastAsia="en-US"/>
        </w:rPr>
        <w:t xml:space="preserve">. </w:t>
      </w:r>
      <w:r w:rsidR="00003300" w:rsidRPr="00CB6D1F">
        <w:rPr>
          <w:rFonts w:ascii="Arial" w:eastAsia="Times" w:hAnsi="Arial" w:cs="Arial"/>
          <w:bCs/>
          <w:sz w:val="22"/>
          <w:szCs w:val="22"/>
          <w:lang w:eastAsia="en-US"/>
        </w:rPr>
        <w:t>However</w:t>
      </w:r>
      <w:r w:rsidR="002A1FA3" w:rsidRPr="00CB6D1F">
        <w:rPr>
          <w:rFonts w:ascii="Arial" w:eastAsia="Times" w:hAnsi="Arial" w:cs="Arial"/>
          <w:bCs/>
          <w:sz w:val="22"/>
          <w:szCs w:val="22"/>
          <w:lang w:eastAsia="en-US"/>
        </w:rPr>
        <w:t>,</w:t>
      </w:r>
      <w:r w:rsidR="00003300" w:rsidRPr="00CB6D1F">
        <w:rPr>
          <w:rFonts w:ascii="Arial" w:eastAsia="Times" w:hAnsi="Arial" w:cs="Arial"/>
          <w:bCs/>
          <w:sz w:val="22"/>
          <w:szCs w:val="22"/>
          <w:lang w:eastAsia="en-US"/>
        </w:rPr>
        <w:t xml:space="preserve"> industry notes</w:t>
      </w:r>
      <w:r w:rsidR="002A1FA3" w:rsidRPr="00CB6D1F">
        <w:rPr>
          <w:rFonts w:ascii="Arial" w:eastAsia="Times" w:hAnsi="Arial" w:cs="Arial"/>
          <w:bCs/>
          <w:sz w:val="22"/>
          <w:szCs w:val="22"/>
          <w:lang w:eastAsia="en-US"/>
        </w:rPr>
        <w:t xml:space="preserve"> that Scotland’s deeper waters</w:t>
      </w:r>
      <w:r w:rsidR="00564BFF" w:rsidRPr="00CB6D1F">
        <w:rPr>
          <w:rFonts w:ascii="Arial" w:eastAsia="Times" w:hAnsi="Arial" w:cs="Arial"/>
          <w:bCs/>
          <w:sz w:val="22"/>
          <w:szCs w:val="22"/>
          <w:lang w:eastAsia="en-US"/>
        </w:rPr>
        <w:t xml:space="preserve"> mean that there is already a built-in competitive disadvantage in relation to complete-removal decommissioning in Scottish waters, and that</w:t>
      </w:r>
      <w:r w:rsidR="005F412E" w:rsidRPr="00CB6D1F">
        <w:rPr>
          <w:rFonts w:ascii="Arial" w:eastAsia="Times" w:hAnsi="Arial" w:cs="Arial"/>
          <w:bCs/>
          <w:sz w:val="22"/>
          <w:szCs w:val="22"/>
          <w:lang w:eastAsia="en-US"/>
        </w:rPr>
        <w:t xml:space="preserve"> the guidelines could reflect that by being more explicit that projects will be assessed on a case-by-case basis</w:t>
      </w:r>
      <w:r w:rsidR="00564BFF" w:rsidRPr="00CB6D1F">
        <w:rPr>
          <w:rFonts w:ascii="Arial" w:eastAsia="Times" w:hAnsi="Arial" w:cs="Arial"/>
          <w:bCs/>
          <w:sz w:val="22"/>
          <w:szCs w:val="22"/>
          <w:lang w:eastAsia="en-US"/>
        </w:rPr>
        <w:t>.</w:t>
      </w:r>
      <w:r w:rsidR="002A1FA3" w:rsidRPr="00CB6D1F">
        <w:rPr>
          <w:rFonts w:ascii="Arial" w:eastAsia="Times" w:hAnsi="Arial" w:cs="Arial"/>
          <w:bCs/>
          <w:sz w:val="22"/>
          <w:szCs w:val="22"/>
          <w:lang w:eastAsia="en-US"/>
        </w:rPr>
        <w:t xml:space="preserve">  </w:t>
      </w:r>
    </w:p>
    <w:p w14:paraId="0B9A3E8C" w14:textId="77777777" w:rsidR="002A1FA3" w:rsidRPr="00CB6D1F" w:rsidRDefault="002A1FA3" w:rsidP="006D4E33">
      <w:pPr>
        <w:pStyle w:val="NormalWeb"/>
        <w:spacing w:before="0" w:beforeAutospacing="0" w:after="0" w:afterAutospacing="0"/>
        <w:jc w:val="both"/>
        <w:rPr>
          <w:rFonts w:ascii="Arial" w:eastAsia="Times" w:hAnsi="Arial" w:cs="Arial"/>
          <w:bCs/>
          <w:sz w:val="22"/>
          <w:szCs w:val="22"/>
          <w:lang w:eastAsia="en-US"/>
        </w:rPr>
      </w:pPr>
    </w:p>
    <w:p w14:paraId="4590B9A9" w14:textId="75BA6AA5" w:rsidR="006D4E33" w:rsidRPr="00CB6D1F" w:rsidRDefault="006D4E33" w:rsidP="006D4E33">
      <w:pPr>
        <w:pStyle w:val="NormalWeb"/>
        <w:spacing w:before="0" w:beforeAutospacing="0" w:after="0" w:afterAutospacing="0"/>
        <w:jc w:val="both"/>
        <w:rPr>
          <w:rFonts w:ascii="Arial" w:eastAsia="Times" w:hAnsi="Arial" w:cs="Arial"/>
          <w:bCs/>
          <w:sz w:val="22"/>
          <w:szCs w:val="22"/>
          <w:lang w:eastAsia="en-US"/>
        </w:rPr>
      </w:pPr>
      <w:r w:rsidRPr="00CB6D1F">
        <w:rPr>
          <w:rFonts w:ascii="Arial" w:eastAsia="Times" w:hAnsi="Arial" w:cs="Arial"/>
          <w:bCs/>
          <w:sz w:val="22"/>
          <w:szCs w:val="22"/>
          <w:lang w:eastAsia="en-US"/>
        </w:rPr>
        <w:t xml:space="preserve">Where the </w:t>
      </w:r>
      <w:r w:rsidR="002A1FA3" w:rsidRPr="00CB6D1F">
        <w:rPr>
          <w:rFonts w:ascii="Arial" w:eastAsia="Times" w:hAnsi="Arial" w:cs="Arial"/>
          <w:bCs/>
          <w:sz w:val="22"/>
          <w:szCs w:val="22"/>
          <w:lang w:eastAsia="en-US"/>
        </w:rPr>
        <w:t>guidance differs</w:t>
      </w:r>
      <w:r w:rsidRPr="00CB6D1F">
        <w:rPr>
          <w:rFonts w:ascii="Arial" w:eastAsia="Times" w:hAnsi="Arial" w:cs="Arial"/>
          <w:bCs/>
          <w:sz w:val="22"/>
          <w:szCs w:val="22"/>
          <w:lang w:eastAsia="en-US"/>
        </w:rPr>
        <w:t xml:space="preserve"> </w:t>
      </w:r>
      <w:r w:rsidR="006A4D57" w:rsidRPr="00CB6D1F">
        <w:rPr>
          <w:rFonts w:ascii="Arial" w:eastAsia="Times" w:hAnsi="Arial" w:cs="Arial"/>
          <w:bCs/>
          <w:sz w:val="22"/>
          <w:szCs w:val="22"/>
          <w:lang w:eastAsia="en-US"/>
        </w:rPr>
        <w:t>between Scotland and England</w:t>
      </w:r>
      <w:r w:rsidRPr="00CB6D1F">
        <w:rPr>
          <w:rFonts w:ascii="Arial" w:eastAsia="Times" w:hAnsi="Arial" w:cs="Arial"/>
          <w:bCs/>
          <w:sz w:val="22"/>
          <w:szCs w:val="22"/>
          <w:lang w:eastAsia="en-US"/>
        </w:rPr>
        <w:t>, this should be noted explicitly, particularly with regards to the following differences identified:</w:t>
      </w:r>
      <w:r w:rsidR="006A4D57" w:rsidRPr="00CB6D1F">
        <w:rPr>
          <w:rFonts w:ascii="Arial" w:eastAsia="Times" w:hAnsi="Arial" w:cs="Arial"/>
          <w:bCs/>
          <w:sz w:val="22"/>
          <w:szCs w:val="22"/>
          <w:lang w:eastAsia="en-US"/>
        </w:rPr>
        <w:t xml:space="preserve"> </w:t>
      </w:r>
    </w:p>
    <w:p w14:paraId="064F001F" w14:textId="77777777" w:rsidR="006D4E33" w:rsidRPr="00CB6D1F" w:rsidRDefault="006D4E33" w:rsidP="006D4E33">
      <w:pPr>
        <w:pStyle w:val="NormalWeb"/>
        <w:spacing w:before="0" w:beforeAutospacing="0" w:after="0" w:afterAutospacing="0"/>
        <w:jc w:val="both"/>
        <w:rPr>
          <w:rFonts w:ascii="Arial" w:eastAsia="Times" w:hAnsi="Arial" w:cs="Arial"/>
          <w:bCs/>
          <w:sz w:val="22"/>
          <w:szCs w:val="22"/>
          <w:lang w:eastAsia="en-US"/>
        </w:rPr>
      </w:pPr>
    </w:p>
    <w:p w14:paraId="5C2F58DE" w14:textId="77777777" w:rsidR="006D4E33" w:rsidRPr="00CB6D1F" w:rsidRDefault="006D4E33" w:rsidP="006D4E33">
      <w:pPr>
        <w:jc w:val="both"/>
        <w:rPr>
          <w:rFonts w:ascii="Arial" w:hAnsi="Arial" w:cs="Arial"/>
          <w:bCs/>
          <w:sz w:val="22"/>
          <w:szCs w:val="22"/>
        </w:rPr>
      </w:pPr>
      <w:r w:rsidRPr="00CB6D1F">
        <w:rPr>
          <w:rFonts w:ascii="Arial" w:hAnsi="Arial" w:cs="Arial"/>
          <w:b/>
          <w:sz w:val="22"/>
          <w:szCs w:val="22"/>
        </w:rPr>
        <w:t xml:space="preserve">Submission of first draft decommissioning programme: </w:t>
      </w:r>
      <w:r w:rsidRPr="00CB6D1F">
        <w:rPr>
          <w:rFonts w:ascii="Arial" w:hAnsi="Arial" w:cs="Arial"/>
          <w:bCs/>
          <w:sz w:val="22"/>
          <w:szCs w:val="22"/>
        </w:rPr>
        <w:t>Industry notes that the difference in submission timeline requirements between Scotland and England means Marine Scotland’s approach is more onerous than BEIS’ requirement. Marine Scotland’s requires submission to Scottish Ministers ~18 months in advance of construction, comparatively to BEIS requiring submission only 12 months.</w:t>
      </w:r>
    </w:p>
    <w:p w14:paraId="1F7119A3" w14:textId="77777777" w:rsidR="006D4E33" w:rsidRPr="00CB6D1F" w:rsidRDefault="006D4E33" w:rsidP="006D4E33">
      <w:pPr>
        <w:jc w:val="both"/>
        <w:rPr>
          <w:rFonts w:ascii="Arial" w:hAnsi="Arial" w:cs="Arial"/>
          <w:bCs/>
          <w:sz w:val="22"/>
          <w:szCs w:val="22"/>
        </w:rPr>
      </w:pPr>
    </w:p>
    <w:p w14:paraId="7DED0F9C" w14:textId="22981CF7" w:rsidR="00A21371" w:rsidRPr="00CB6D1F" w:rsidRDefault="006D4E33" w:rsidP="00B34A72">
      <w:pPr>
        <w:jc w:val="both"/>
        <w:rPr>
          <w:rFonts w:ascii="Arial" w:hAnsi="Arial" w:cs="Arial"/>
          <w:bCs/>
          <w:sz w:val="22"/>
          <w:szCs w:val="22"/>
        </w:rPr>
      </w:pPr>
      <w:r w:rsidRPr="00CB6D1F">
        <w:rPr>
          <w:rFonts w:ascii="Arial" w:hAnsi="Arial" w:cs="Arial"/>
          <w:b/>
          <w:sz w:val="22"/>
          <w:szCs w:val="22"/>
        </w:rPr>
        <w:t xml:space="preserve">Environmental assessment and surveys: </w:t>
      </w:r>
      <w:r w:rsidRPr="00CB6D1F">
        <w:rPr>
          <w:rFonts w:ascii="Arial" w:hAnsi="Arial" w:cs="Arial"/>
          <w:bCs/>
          <w:sz w:val="22"/>
          <w:szCs w:val="22"/>
        </w:rPr>
        <w:t xml:space="preserve">The Marine Scotland guidance does not include a section on environmental assessment and surveys prior to decommissioning. Industry assumes that this omission is because decommissioning activities will be subject to a separate marine license issued by Scottish Ministers, which will likely contain prior to commencement conditions (such as any required surveys) but would welcome clarity on whether this is the case. </w:t>
      </w:r>
    </w:p>
    <w:p w14:paraId="409BFF28" w14:textId="77777777" w:rsidR="00B34A72" w:rsidRPr="00CB6D1F" w:rsidRDefault="00B34A72" w:rsidP="00B34A72">
      <w:pPr>
        <w:jc w:val="both"/>
        <w:rPr>
          <w:rFonts w:ascii="Arial" w:hAnsi="Arial" w:cs="Arial"/>
          <w:bCs/>
          <w:sz w:val="22"/>
          <w:szCs w:val="22"/>
        </w:rPr>
      </w:pPr>
    </w:p>
    <w:p w14:paraId="3036019F" w14:textId="77777777" w:rsidR="006A4D57" w:rsidRPr="00CB6D1F" w:rsidRDefault="006A4D57" w:rsidP="006A4D57">
      <w:pPr>
        <w:pStyle w:val="NormalWeb"/>
        <w:spacing w:before="0" w:beforeAutospacing="0" w:after="0" w:afterAutospacing="0"/>
        <w:jc w:val="both"/>
        <w:rPr>
          <w:rFonts w:ascii="Arial" w:hAnsi="Arial" w:cs="Arial"/>
          <w:sz w:val="22"/>
          <w:szCs w:val="22"/>
        </w:rPr>
      </w:pPr>
      <w:r w:rsidRPr="00CB6D1F">
        <w:rPr>
          <w:rFonts w:ascii="Arial" w:hAnsi="Arial" w:cs="Arial"/>
          <w:sz w:val="22"/>
          <w:szCs w:val="22"/>
        </w:rPr>
        <w:t> </w:t>
      </w:r>
    </w:p>
    <w:p w14:paraId="1FBBD859" w14:textId="010016F0" w:rsidR="005D79E9" w:rsidRPr="00CB6D1F" w:rsidRDefault="006A4D57" w:rsidP="006A4D57">
      <w:pPr>
        <w:pStyle w:val="NormalWeb"/>
        <w:spacing w:before="0" w:beforeAutospacing="0" w:after="0" w:afterAutospacing="0"/>
        <w:jc w:val="both"/>
        <w:rPr>
          <w:rFonts w:ascii="Arial" w:eastAsia="Times" w:hAnsi="Arial" w:cs="Arial"/>
          <w:b/>
          <w:sz w:val="22"/>
          <w:szCs w:val="22"/>
          <w:lang w:eastAsia="en-US"/>
        </w:rPr>
      </w:pPr>
      <w:r w:rsidRPr="00CB6D1F">
        <w:rPr>
          <w:rFonts w:ascii="Arial" w:eastAsia="Times" w:hAnsi="Arial" w:cs="Arial"/>
          <w:b/>
          <w:sz w:val="22"/>
          <w:szCs w:val="22"/>
          <w:lang w:eastAsia="en-US"/>
        </w:rPr>
        <w:t xml:space="preserve">2. The main proposed variation from the UK Government’s approach is in relation to test centres. The BEIS guidance states that test centres remain responsible for ensuring decommissioning of tenants. The Scottish Government is proposing that plans for tenants should instead be approved by Marine Scotland. Do you agree or disagree with this approach? Agree Disagree Please explain your view. </w:t>
      </w:r>
    </w:p>
    <w:p w14:paraId="7B7CA942" w14:textId="78765265" w:rsidR="00ED7617" w:rsidRPr="00CB6D1F" w:rsidRDefault="00ED7617" w:rsidP="006A4D57">
      <w:pPr>
        <w:pStyle w:val="NormalWeb"/>
        <w:spacing w:before="0" w:beforeAutospacing="0" w:after="0" w:afterAutospacing="0"/>
        <w:jc w:val="both"/>
        <w:rPr>
          <w:rFonts w:ascii="Arial" w:eastAsia="Times" w:hAnsi="Arial" w:cs="Arial"/>
          <w:b/>
          <w:sz w:val="22"/>
          <w:szCs w:val="22"/>
          <w:lang w:eastAsia="en-US"/>
        </w:rPr>
      </w:pPr>
    </w:p>
    <w:p w14:paraId="6E43D703" w14:textId="5285E1CD" w:rsidR="00ED7617" w:rsidRPr="00CB6D1F" w:rsidRDefault="00ED7617" w:rsidP="006A4D57">
      <w:pPr>
        <w:pStyle w:val="NormalWeb"/>
        <w:spacing w:before="0" w:beforeAutospacing="0" w:after="0" w:afterAutospacing="0"/>
        <w:jc w:val="both"/>
        <w:rPr>
          <w:rFonts w:ascii="Arial" w:eastAsia="Times" w:hAnsi="Arial" w:cs="Arial"/>
          <w:bCs/>
          <w:sz w:val="22"/>
          <w:szCs w:val="22"/>
          <w:lang w:eastAsia="en-US"/>
        </w:rPr>
      </w:pPr>
      <w:r w:rsidRPr="00CB6D1F">
        <w:rPr>
          <w:rFonts w:ascii="Arial" w:eastAsia="Times" w:hAnsi="Arial" w:cs="Arial"/>
          <w:bCs/>
          <w:sz w:val="22"/>
          <w:szCs w:val="22"/>
          <w:lang w:eastAsia="en-US"/>
        </w:rPr>
        <w:t xml:space="preserve">Agree. Requiring early-stage developers to engage </w:t>
      </w:r>
      <w:r w:rsidR="00D9008C" w:rsidRPr="00CB6D1F">
        <w:rPr>
          <w:rFonts w:ascii="Arial" w:eastAsia="Times" w:hAnsi="Arial" w:cs="Arial"/>
          <w:bCs/>
          <w:sz w:val="22"/>
          <w:szCs w:val="22"/>
          <w:lang w:eastAsia="en-US"/>
        </w:rPr>
        <w:t xml:space="preserve">directly </w:t>
      </w:r>
      <w:r w:rsidRPr="00CB6D1F">
        <w:rPr>
          <w:rFonts w:ascii="Arial" w:eastAsia="Times" w:hAnsi="Arial" w:cs="Arial"/>
          <w:bCs/>
          <w:sz w:val="22"/>
          <w:szCs w:val="22"/>
          <w:lang w:eastAsia="en-US"/>
        </w:rPr>
        <w:t xml:space="preserve">with the regulator </w:t>
      </w:r>
      <w:r w:rsidR="00D9008C" w:rsidRPr="00CB6D1F">
        <w:rPr>
          <w:rFonts w:ascii="Arial" w:eastAsia="Times" w:hAnsi="Arial" w:cs="Arial"/>
          <w:bCs/>
          <w:sz w:val="22"/>
          <w:szCs w:val="22"/>
          <w:lang w:eastAsia="en-US"/>
        </w:rPr>
        <w:t xml:space="preserve">can help to build commercial and regulatory experience. </w:t>
      </w:r>
    </w:p>
    <w:p w14:paraId="75345082" w14:textId="73017FAA" w:rsidR="00D9008C" w:rsidRPr="00CB6D1F" w:rsidRDefault="00D9008C" w:rsidP="006A4D57">
      <w:pPr>
        <w:pStyle w:val="NormalWeb"/>
        <w:spacing w:before="0" w:beforeAutospacing="0" w:after="0" w:afterAutospacing="0"/>
        <w:jc w:val="both"/>
        <w:rPr>
          <w:rFonts w:ascii="Arial" w:eastAsia="Times" w:hAnsi="Arial" w:cs="Arial"/>
          <w:bCs/>
          <w:sz w:val="22"/>
          <w:szCs w:val="22"/>
          <w:lang w:eastAsia="en-US"/>
        </w:rPr>
      </w:pPr>
    </w:p>
    <w:p w14:paraId="1B8B8117" w14:textId="325D4F0B" w:rsidR="00D9008C" w:rsidRPr="00CB6D1F" w:rsidRDefault="00D9008C" w:rsidP="006A4D57">
      <w:pPr>
        <w:pStyle w:val="NormalWeb"/>
        <w:spacing w:before="0" w:beforeAutospacing="0" w:after="0" w:afterAutospacing="0"/>
        <w:jc w:val="both"/>
        <w:rPr>
          <w:rFonts w:ascii="Arial" w:eastAsia="Times" w:hAnsi="Arial" w:cs="Arial"/>
          <w:bCs/>
          <w:sz w:val="22"/>
          <w:szCs w:val="22"/>
          <w:lang w:eastAsia="en-US"/>
        </w:rPr>
      </w:pPr>
      <w:r w:rsidRPr="00CB6D1F">
        <w:rPr>
          <w:rFonts w:ascii="Arial" w:eastAsia="Times" w:hAnsi="Arial" w:cs="Arial"/>
          <w:bCs/>
          <w:sz w:val="22"/>
          <w:szCs w:val="22"/>
          <w:lang w:eastAsia="en-US"/>
        </w:rPr>
        <w:t>However, we strongly support the position of EMEC, Scotland’s world-leading test centre, that draft clause 4.11 would result in an unacceptable level of financial risk for a</w:t>
      </w:r>
      <w:r w:rsidR="0067122B" w:rsidRPr="00CB6D1F">
        <w:rPr>
          <w:rFonts w:ascii="Arial" w:eastAsia="Times" w:hAnsi="Arial" w:cs="Arial"/>
          <w:bCs/>
          <w:sz w:val="22"/>
          <w:szCs w:val="22"/>
          <w:lang w:eastAsia="en-US"/>
        </w:rPr>
        <w:t>ny</w:t>
      </w:r>
      <w:r w:rsidRPr="00CB6D1F">
        <w:rPr>
          <w:rFonts w:ascii="Arial" w:eastAsia="Times" w:hAnsi="Arial" w:cs="Arial"/>
          <w:bCs/>
          <w:sz w:val="22"/>
          <w:szCs w:val="22"/>
          <w:lang w:eastAsia="en-US"/>
        </w:rPr>
        <w:t xml:space="preserve"> test centre</w:t>
      </w:r>
      <w:r w:rsidR="0067122B" w:rsidRPr="00CB6D1F">
        <w:rPr>
          <w:rFonts w:ascii="Arial" w:eastAsia="Times" w:hAnsi="Arial" w:cs="Arial"/>
          <w:bCs/>
          <w:sz w:val="22"/>
          <w:szCs w:val="22"/>
          <w:lang w:eastAsia="en-US"/>
        </w:rPr>
        <w:t xml:space="preserve">. As Marine Scotland will be responsible for the collection of financial securities, industry feels that it would be appropriate for Scottish Ministers to </w:t>
      </w:r>
      <w:r w:rsidR="00203E2F" w:rsidRPr="00CB6D1F">
        <w:rPr>
          <w:rFonts w:ascii="Arial" w:eastAsia="Times" w:hAnsi="Arial" w:cs="Arial"/>
          <w:bCs/>
          <w:sz w:val="22"/>
          <w:szCs w:val="22"/>
          <w:lang w:eastAsia="en-US"/>
        </w:rPr>
        <w:t>be the funder of last resort as well</w:t>
      </w:r>
      <w:r w:rsidR="0067122B" w:rsidRPr="00CB6D1F">
        <w:rPr>
          <w:rFonts w:ascii="Arial" w:eastAsia="Times" w:hAnsi="Arial" w:cs="Arial"/>
          <w:bCs/>
          <w:sz w:val="22"/>
          <w:szCs w:val="22"/>
          <w:lang w:eastAsia="en-US"/>
        </w:rPr>
        <w:t xml:space="preserve">. An alternative route might be via the </w:t>
      </w:r>
      <w:r w:rsidR="00203E2F" w:rsidRPr="00CB6D1F">
        <w:rPr>
          <w:rFonts w:ascii="Arial" w:eastAsia="Times" w:hAnsi="Arial" w:cs="Arial"/>
          <w:bCs/>
          <w:sz w:val="22"/>
          <w:szCs w:val="22"/>
          <w:lang w:eastAsia="en-US"/>
        </w:rPr>
        <w:t>seabed owner</w:t>
      </w:r>
      <w:r w:rsidR="0067122B" w:rsidRPr="00CB6D1F">
        <w:rPr>
          <w:rFonts w:ascii="Arial" w:eastAsia="Times" w:hAnsi="Arial" w:cs="Arial"/>
          <w:bCs/>
          <w:sz w:val="22"/>
          <w:szCs w:val="22"/>
          <w:lang w:eastAsia="en-US"/>
        </w:rPr>
        <w:t xml:space="preserve"> (</w:t>
      </w:r>
      <w:r w:rsidR="00802608" w:rsidRPr="00CB6D1F">
        <w:rPr>
          <w:rFonts w:ascii="Arial" w:eastAsia="Times" w:hAnsi="Arial" w:cs="Arial"/>
          <w:bCs/>
          <w:sz w:val="22"/>
          <w:szCs w:val="22"/>
          <w:lang w:eastAsia="en-US"/>
        </w:rPr>
        <w:t>CES</w:t>
      </w:r>
      <w:r w:rsidR="0067122B" w:rsidRPr="00CB6D1F">
        <w:rPr>
          <w:rFonts w:ascii="Arial" w:eastAsia="Times" w:hAnsi="Arial" w:cs="Arial"/>
          <w:bCs/>
          <w:sz w:val="22"/>
          <w:szCs w:val="22"/>
          <w:lang w:eastAsia="en-US"/>
        </w:rPr>
        <w:t>).</w:t>
      </w:r>
    </w:p>
    <w:p w14:paraId="6BA1D150" w14:textId="1C4A7071" w:rsidR="00A21371" w:rsidRPr="00CB6D1F" w:rsidRDefault="00A21371" w:rsidP="006A4D57">
      <w:pPr>
        <w:pStyle w:val="NormalWeb"/>
        <w:spacing w:before="0" w:beforeAutospacing="0" w:after="0" w:afterAutospacing="0"/>
        <w:jc w:val="both"/>
        <w:rPr>
          <w:rFonts w:ascii="Arial" w:hAnsi="Arial" w:cs="Arial"/>
          <w:bCs/>
          <w:sz w:val="22"/>
          <w:szCs w:val="22"/>
        </w:rPr>
      </w:pPr>
    </w:p>
    <w:p w14:paraId="110E6467" w14:textId="674090DB" w:rsidR="006A4D57" w:rsidRPr="00CB6D1F" w:rsidRDefault="006A4D57" w:rsidP="006A4D57">
      <w:pPr>
        <w:pStyle w:val="NormalWeb"/>
        <w:spacing w:before="0" w:beforeAutospacing="0" w:after="0" w:afterAutospacing="0"/>
        <w:jc w:val="both"/>
        <w:rPr>
          <w:rFonts w:ascii="Arial" w:hAnsi="Arial" w:cs="Arial"/>
          <w:sz w:val="22"/>
          <w:szCs w:val="22"/>
        </w:rPr>
      </w:pPr>
    </w:p>
    <w:p w14:paraId="702E76E4" w14:textId="77777777" w:rsidR="006A4D57" w:rsidRPr="00CB6D1F" w:rsidRDefault="006A4D57" w:rsidP="006A4D57">
      <w:pPr>
        <w:pStyle w:val="NormalWeb"/>
        <w:spacing w:before="0" w:beforeAutospacing="0" w:after="0" w:afterAutospacing="0"/>
        <w:jc w:val="both"/>
        <w:rPr>
          <w:rFonts w:ascii="Arial" w:eastAsia="Times" w:hAnsi="Arial" w:cs="Arial"/>
          <w:b/>
          <w:sz w:val="22"/>
          <w:szCs w:val="22"/>
          <w:lang w:eastAsia="en-US"/>
        </w:rPr>
      </w:pPr>
      <w:r w:rsidRPr="00CB6D1F">
        <w:rPr>
          <w:rFonts w:ascii="Arial" w:eastAsia="Times" w:hAnsi="Arial" w:cs="Arial"/>
          <w:b/>
          <w:sz w:val="22"/>
          <w:szCs w:val="22"/>
          <w:lang w:eastAsia="en-US"/>
        </w:rPr>
        <w:t xml:space="preserve">3. Do you agree or disagree with the proposed approach and timings in relation to financial securities set out in Section 9 of the draft guidance? Agree/Disagree Please explain your view. </w:t>
      </w:r>
    </w:p>
    <w:p w14:paraId="63752574" w14:textId="2D2791A3" w:rsidR="009E7111" w:rsidRPr="00CB6D1F" w:rsidRDefault="009E7111" w:rsidP="006A4D57">
      <w:pPr>
        <w:pStyle w:val="NormalWeb"/>
        <w:spacing w:before="0" w:beforeAutospacing="0" w:after="0" w:afterAutospacing="0"/>
        <w:jc w:val="both"/>
        <w:rPr>
          <w:rFonts w:ascii="Arial" w:hAnsi="Arial" w:cs="Arial"/>
          <w:bCs/>
          <w:sz w:val="22"/>
          <w:szCs w:val="22"/>
        </w:rPr>
      </w:pPr>
    </w:p>
    <w:p w14:paraId="62787A7E" w14:textId="69B7D6B6" w:rsidR="00D231B8" w:rsidRPr="00CB6D1F" w:rsidRDefault="00971FC6" w:rsidP="006A4D57">
      <w:pPr>
        <w:pStyle w:val="NormalWeb"/>
        <w:spacing w:before="0" w:beforeAutospacing="0" w:after="0" w:afterAutospacing="0"/>
        <w:jc w:val="both"/>
        <w:rPr>
          <w:rFonts w:ascii="Arial" w:hAnsi="Arial" w:cs="Arial"/>
          <w:bCs/>
          <w:sz w:val="22"/>
          <w:szCs w:val="22"/>
        </w:rPr>
      </w:pPr>
      <w:r w:rsidRPr="00CB6D1F">
        <w:rPr>
          <w:rFonts w:ascii="Arial" w:hAnsi="Arial" w:cs="Arial"/>
          <w:bCs/>
          <w:sz w:val="22"/>
          <w:szCs w:val="22"/>
        </w:rPr>
        <w:t xml:space="preserve">For offshore wind: </w:t>
      </w:r>
      <w:r w:rsidR="009A4766" w:rsidRPr="00CB6D1F">
        <w:rPr>
          <w:rFonts w:ascii="Arial" w:hAnsi="Arial" w:cs="Arial"/>
          <w:bCs/>
          <w:sz w:val="22"/>
          <w:szCs w:val="22"/>
        </w:rPr>
        <w:t>Agree.</w:t>
      </w:r>
      <w:r w:rsidR="00B75B24" w:rsidRPr="00CB6D1F">
        <w:rPr>
          <w:rFonts w:ascii="Arial" w:hAnsi="Arial" w:cs="Arial"/>
          <w:bCs/>
          <w:sz w:val="22"/>
          <w:szCs w:val="22"/>
        </w:rPr>
        <w:t xml:space="preserve"> The proposal to require mid-life accrual from year 10</w:t>
      </w:r>
      <w:r w:rsidRPr="00CB6D1F">
        <w:rPr>
          <w:rFonts w:ascii="Arial" w:hAnsi="Arial" w:cs="Arial"/>
          <w:bCs/>
          <w:sz w:val="22"/>
          <w:szCs w:val="22"/>
        </w:rPr>
        <w:t xml:space="preserve"> of a </w:t>
      </w:r>
      <w:proofErr w:type="spellStart"/>
      <w:r w:rsidRPr="00CB6D1F">
        <w:rPr>
          <w:rFonts w:ascii="Arial" w:hAnsi="Arial" w:cs="Arial"/>
          <w:bCs/>
          <w:sz w:val="22"/>
          <w:szCs w:val="22"/>
        </w:rPr>
        <w:t>CfD</w:t>
      </w:r>
      <w:proofErr w:type="spellEnd"/>
      <w:r w:rsidRPr="00CB6D1F">
        <w:rPr>
          <w:rFonts w:ascii="Arial" w:hAnsi="Arial" w:cs="Arial"/>
          <w:bCs/>
          <w:sz w:val="22"/>
          <w:szCs w:val="22"/>
        </w:rPr>
        <w:t xml:space="preserve"> period</w:t>
      </w:r>
      <w:r w:rsidR="00B75B24" w:rsidRPr="00CB6D1F">
        <w:rPr>
          <w:rFonts w:ascii="Arial" w:hAnsi="Arial" w:cs="Arial"/>
          <w:bCs/>
          <w:sz w:val="22"/>
          <w:szCs w:val="22"/>
        </w:rPr>
        <w:t xml:space="preserve"> is acceptable. However, i</w:t>
      </w:r>
      <w:r w:rsidR="00D231B8" w:rsidRPr="00CB6D1F">
        <w:rPr>
          <w:rFonts w:ascii="Arial" w:hAnsi="Arial" w:cs="Arial"/>
          <w:bCs/>
          <w:sz w:val="22"/>
          <w:szCs w:val="22"/>
        </w:rPr>
        <w:t xml:space="preserve">ndustry wishes to highlight the fast-developing nature of the </w:t>
      </w:r>
      <w:proofErr w:type="spellStart"/>
      <w:r w:rsidR="00D231B8" w:rsidRPr="00CB6D1F">
        <w:rPr>
          <w:rFonts w:ascii="Arial" w:hAnsi="Arial" w:cs="Arial"/>
          <w:bCs/>
          <w:sz w:val="22"/>
          <w:szCs w:val="22"/>
        </w:rPr>
        <w:t>CfD</w:t>
      </w:r>
      <w:proofErr w:type="spellEnd"/>
      <w:r w:rsidR="00D231B8" w:rsidRPr="00CB6D1F">
        <w:rPr>
          <w:rFonts w:ascii="Arial" w:hAnsi="Arial" w:cs="Arial"/>
          <w:bCs/>
          <w:sz w:val="22"/>
          <w:szCs w:val="22"/>
        </w:rPr>
        <w:t xml:space="preserve"> auction mechanism, which most recently led to contract strike prices for offshore wind lower than forecast wholesale prices. It is arguably no longer acceptable to refer to </w:t>
      </w:r>
      <w:r w:rsidR="00D231B8" w:rsidRPr="00CB6D1F">
        <w:rPr>
          <w:rFonts w:ascii="Arial" w:hAnsi="Arial" w:cs="Arial"/>
          <w:bCs/>
          <w:sz w:val="22"/>
          <w:szCs w:val="22"/>
        </w:rPr>
        <w:lastRenderedPageBreak/>
        <w:t xml:space="preserve">the scheme as a subsidy, when it is conceivable that offshore projects will be paying back to the state for </w:t>
      </w:r>
      <w:r w:rsidR="009A4766" w:rsidRPr="00CB6D1F">
        <w:rPr>
          <w:rFonts w:ascii="Arial" w:hAnsi="Arial" w:cs="Arial"/>
          <w:bCs/>
          <w:sz w:val="22"/>
          <w:szCs w:val="22"/>
        </w:rPr>
        <w:t>duration of their contract.</w:t>
      </w:r>
      <w:r w:rsidR="00B75B24" w:rsidRPr="00CB6D1F">
        <w:rPr>
          <w:rFonts w:ascii="Arial" w:hAnsi="Arial" w:cs="Arial"/>
          <w:bCs/>
          <w:sz w:val="22"/>
          <w:szCs w:val="22"/>
        </w:rPr>
        <w:t xml:space="preserve"> </w:t>
      </w:r>
    </w:p>
    <w:p w14:paraId="7B4717E3" w14:textId="6C7F26CB" w:rsidR="00971FC6" w:rsidRPr="00CB6D1F" w:rsidRDefault="00971FC6" w:rsidP="006A4D57">
      <w:pPr>
        <w:pStyle w:val="NormalWeb"/>
        <w:spacing w:before="0" w:beforeAutospacing="0" w:after="0" w:afterAutospacing="0"/>
        <w:jc w:val="both"/>
        <w:rPr>
          <w:rFonts w:ascii="Arial" w:hAnsi="Arial" w:cs="Arial"/>
          <w:bCs/>
          <w:sz w:val="22"/>
          <w:szCs w:val="22"/>
        </w:rPr>
      </w:pPr>
    </w:p>
    <w:p w14:paraId="65002172" w14:textId="66AD3728" w:rsidR="00971FC6" w:rsidRPr="00CB6D1F" w:rsidRDefault="00971FC6" w:rsidP="006A4D57">
      <w:pPr>
        <w:pStyle w:val="NormalWeb"/>
        <w:spacing w:before="0" w:beforeAutospacing="0" w:after="0" w:afterAutospacing="0"/>
        <w:jc w:val="both"/>
        <w:rPr>
          <w:rFonts w:ascii="Arial" w:hAnsi="Arial" w:cs="Arial"/>
          <w:bCs/>
          <w:sz w:val="22"/>
          <w:szCs w:val="22"/>
        </w:rPr>
      </w:pPr>
      <w:r w:rsidRPr="00CB6D1F">
        <w:rPr>
          <w:rFonts w:ascii="Arial" w:hAnsi="Arial" w:cs="Arial"/>
          <w:bCs/>
          <w:sz w:val="22"/>
          <w:szCs w:val="22"/>
        </w:rPr>
        <w:t xml:space="preserve">For wave and tidal installations: Disagree. A more proportionate requirement than upfront cash is required for those technology developers who are well-established and have demonstrable experience of delivering projects, but do not have consistent revenue support such as ROCs. </w:t>
      </w:r>
      <w:r w:rsidR="002A7E0A" w:rsidRPr="00CB6D1F">
        <w:rPr>
          <w:rFonts w:ascii="Arial" w:hAnsi="Arial" w:cs="Arial"/>
          <w:bCs/>
          <w:sz w:val="22"/>
          <w:szCs w:val="22"/>
        </w:rPr>
        <w:t>Industry would welcome discussions on designing</w:t>
      </w:r>
      <w:r w:rsidR="005A62EB" w:rsidRPr="00CB6D1F">
        <w:rPr>
          <w:rFonts w:ascii="Arial" w:hAnsi="Arial" w:cs="Arial"/>
          <w:bCs/>
          <w:sz w:val="22"/>
          <w:szCs w:val="22"/>
        </w:rPr>
        <w:t xml:space="preserve"> a</w:t>
      </w:r>
      <w:r w:rsidR="002A7E0A" w:rsidRPr="00CB6D1F">
        <w:rPr>
          <w:rFonts w:ascii="Arial" w:hAnsi="Arial" w:cs="Arial"/>
          <w:bCs/>
          <w:sz w:val="22"/>
          <w:szCs w:val="22"/>
        </w:rPr>
        <w:t xml:space="preserve"> </w:t>
      </w:r>
      <w:r w:rsidR="00B34A72" w:rsidRPr="00CB6D1F">
        <w:rPr>
          <w:rFonts w:ascii="Arial" w:hAnsi="Arial" w:cs="Arial"/>
          <w:bCs/>
          <w:sz w:val="22"/>
          <w:szCs w:val="22"/>
        </w:rPr>
        <w:t>‘</w:t>
      </w:r>
      <w:r w:rsidR="002A7E0A" w:rsidRPr="00CB6D1F">
        <w:rPr>
          <w:rFonts w:ascii="Arial" w:hAnsi="Arial" w:cs="Arial"/>
          <w:bCs/>
          <w:sz w:val="22"/>
          <w:szCs w:val="22"/>
        </w:rPr>
        <w:t>mid</w:t>
      </w:r>
      <w:r w:rsidR="00B34A72" w:rsidRPr="00CB6D1F">
        <w:rPr>
          <w:rFonts w:ascii="Arial" w:hAnsi="Arial" w:cs="Arial"/>
          <w:bCs/>
          <w:sz w:val="22"/>
          <w:szCs w:val="22"/>
        </w:rPr>
        <w:t>dle</w:t>
      </w:r>
      <w:r w:rsidR="002A7E0A" w:rsidRPr="00CB6D1F">
        <w:rPr>
          <w:rFonts w:ascii="Arial" w:hAnsi="Arial" w:cs="Arial"/>
          <w:bCs/>
          <w:sz w:val="22"/>
          <w:szCs w:val="22"/>
        </w:rPr>
        <w:t xml:space="preserve"> option</w:t>
      </w:r>
      <w:r w:rsidR="00B34A72" w:rsidRPr="00CB6D1F">
        <w:rPr>
          <w:rFonts w:ascii="Arial" w:hAnsi="Arial" w:cs="Arial"/>
          <w:bCs/>
          <w:sz w:val="22"/>
          <w:szCs w:val="22"/>
        </w:rPr>
        <w:t>’</w:t>
      </w:r>
      <w:r w:rsidR="002A7E0A" w:rsidRPr="00CB6D1F">
        <w:rPr>
          <w:rFonts w:ascii="Arial" w:hAnsi="Arial" w:cs="Arial"/>
          <w:bCs/>
          <w:sz w:val="22"/>
          <w:szCs w:val="22"/>
        </w:rPr>
        <w:t xml:space="preserve">, that would enable further vital innovation in this area of renewables. </w:t>
      </w:r>
    </w:p>
    <w:p w14:paraId="3F70FBF8" w14:textId="77777777" w:rsidR="00971FC6" w:rsidRPr="00CB6D1F" w:rsidRDefault="00971FC6" w:rsidP="006A4D57">
      <w:pPr>
        <w:pStyle w:val="NormalWeb"/>
        <w:spacing w:before="0" w:beforeAutospacing="0" w:after="0" w:afterAutospacing="0"/>
        <w:jc w:val="both"/>
        <w:rPr>
          <w:rFonts w:ascii="Arial" w:hAnsi="Arial" w:cs="Arial"/>
          <w:bCs/>
          <w:sz w:val="22"/>
          <w:szCs w:val="22"/>
        </w:rPr>
      </w:pPr>
    </w:p>
    <w:p w14:paraId="419400DD" w14:textId="430029DC" w:rsidR="006A4D57" w:rsidRPr="00CB6D1F" w:rsidRDefault="009E7111" w:rsidP="006A4D57">
      <w:pPr>
        <w:pStyle w:val="NormalWeb"/>
        <w:spacing w:before="0" w:beforeAutospacing="0" w:after="0" w:afterAutospacing="0"/>
        <w:jc w:val="both"/>
        <w:rPr>
          <w:rFonts w:ascii="Arial" w:eastAsia="Times" w:hAnsi="Arial" w:cs="Arial"/>
          <w:bCs/>
          <w:sz w:val="22"/>
          <w:szCs w:val="22"/>
          <w:lang w:eastAsia="en-US"/>
        </w:rPr>
      </w:pPr>
      <w:r w:rsidRPr="00CB6D1F">
        <w:rPr>
          <w:rFonts w:ascii="Arial" w:eastAsia="Times" w:hAnsi="Arial" w:cs="Arial"/>
          <w:bCs/>
          <w:sz w:val="22"/>
          <w:szCs w:val="22"/>
          <w:lang w:eastAsia="en-US"/>
        </w:rPr>
        <w:t xml:space="preserve">Industry would welcome clearer definition of “full security” – does this refer to the cost of decommissioning at present, or at the final point of decommissioning? </w:t>
      </w:r>
    </w:p>
    <w:p w14:paraId="5AD0CB16" w14:textId="5FC3A6C3" w:rsidR="00774438" w:rsidRPr="00CB6D1F" w:rsidRDefault="00774438" w:rsidP="006A4D57">
      <w:pPr>
        <w:pStyle w:val="NormalWeb"/>
        <w:spacing w:before="0" w:beforeAutospacing="0" w:after="0" w:afterAutospacing="0"/>
        <w:jc w:val="both"/>
        <w:rPr>
          <w:rFonts w:ascii="Arial" w:eastAsia="Times" w:hAnsi="Arial" w:cs="Arial"/>
          <w:bCs/>
          <w:sz w:val="22"/>
          <w:szCs w:val="22"/>
          <w:lang w:eastAsia="en-US"/>
        </w:rPr>
      </w:pPr>
    </w:p>
    <w:p w14:paraId="6FE17D99" w14:textId="1119712B" w:rsidR="00B75B24" w:rsidRPr="00CB6D1F" w:rsidRDefault="00B75B24" w:rsidP="006A4D57">
      <w:pPr>
        <w:pStyle w:val="NormalWeb"/>
        <w:spacing w:before="0" w:beforeAutospacing="0" w:after="0" w:afterAutospacing="0"/>
        <w:jc w:val="both"/>
        <w:rPr>
          <w:rFonts w:ascii="Arial" w:eastAsia="Times" w:hAnsi="Arial" w:cs="Arial"/>
          <w:bCs/>
          <w:sz w:val="22"/>
          <w:szCs w:val="22"/>
          <w:lang w:eastAsia="en-US"/>
        </w:rPr>
      </w:pPr>
      <w:r w:rsidRPr="00CB6D1F">
        <w:rPr>
          <w:rFonts w:ascii="Arial" w:eastAsia="Times" w:hAnsi="Arial" w:cs="Arial"/>
          <w:bCs/>
          <w:sz w:val="22"/>
          <w:szCs w:val="22"/>
          <w:lang w:eastAsia="en-US"/>
        </w:rPr>
        <w:t>Industry feels that the requirement to include VAT in costings for territorial water projects is a significan</w:t>
      </w:r>
      <w:r w:rsidR="00836A45" w:rsidRPr="00CB6D1F">
        <w:rPr>
          <w:rFonts w:ascii="Arial" w:eastAsia="Times" w:hAnsi="Arial" w:cs="Arial"/>
          <w:bCs/>
          <w:sz w:val="22"/>
          <w:szCs w:val="22"/>
          <w:lang w:eastAsia="en-US"/>
        </w:rPr>
        <w:t xml:space="preserve">t requirement that requires further justification. If the Scottish Government became responsible for decommissioning, it would </w:t>
      </w:r>
      <w:r w:rsidR="00A27115" w:rsidRPr="00CB6D1F">
        <w:rPr>
          <w:rFonts w:ascii="Arial" w:eastAsia="Times" w:hAnsi="Arial" w:cs="Arial"/>
          <w:bCs/>
          <w:sz w:val="22"/>
          <w:szCs w:val="22"/>
          <w:lang w:eastAsia="en-US"/>
        </w:rPr>
        <w:t>have access to</w:t>
      </w:r>
      <w:r w:rsidR="00836A45" w:rsidRPr="00CB6D1F">
        <w:rPr>
          <w:rFonts w:ascii="Arial" w:eastAsia="Times" w:hAnsi="Arial" w:cs="Arial"/>
          <w:bCs/>
          <w:sz w:val="22"/>
          <w:szCs w:val="22"/>
          <w:lang w:eastAsia="en-US"/>
        </w:rPr>
        <w:t xml:space="preserve"> private funds held in security</w:t>
      </w:r>
      <w:r w:rsidR="00A27115" w:rsidRPr="00CB6D1F">
        <w:rPr>
          <w:rFonts w:ascii="Arial" w:eastAsia="Times" w:hAnsi="Arial" w:cs="Arial"/>
          <w:bCs/>
          <w:sz w:val="22"/>
          <w:szCs w:val="22"/>
          <w:lang w:eastAsia="en-US"/>
        </w:rPr>
        <w:t>, rather than spending public money</w:t>
      </w:r>
      <w:r w:rsidR="00772DBE" w:rsidRPr="00CB6D1F">
        <w:rPr>
          <w:rFonts w:ascii="Arial" w:eastAsia="Times" w:hAnsi="Arial" w:cs="Arial"/>
          <w:bCs/>
          <w:sz w:val="22"/>
          <w:szCs w:val="22"/>
          <w:lang w:eastAsia="en-US"/>
        </w:rPr>
        <w:t xml:space="preserve">, so it would be useful to have a fuller rationale from officials. </w:t>
      </w:r>
    </w:p>
    <w:p w14:paraId="18173971" w14:textId="4E036E14" w:rsidR="00EA308B" w:rsidRPr="00CB6D1F" w:rsidRDefault="00EA308B" w:rsidP="006A4D57">
      <w:pPr>
        <w:pStyle w:val="NormalWeb"/>
        <w:spacing w:before="0" w:beforeAutospacing="0" w:after="0" w:afterAutospacing="0"/>
        <w:jc w:val="both"/>
        <w:rPr>
          <w:rFonts w:ascii="Arial" w:eastAsia="Times" w:hAnsi="Arial" w:cs="Arial"/>
          <w:bCs/>
          <w:sz w:val="22"/>
          <w:szCs w:val="22"/>
          <w:lang w:eastAsia="en-US"/>
        </w:rPr>
      </w:pPr>
    </w:p>
    <w:p w14:paraId="74A2E0C9" w14:textId="63DC8C9B" w:rsidR="00EA308B" w:rsidRPr="00CB6D1F" w:rsidRDefault="00EA308B" w:rsidP="006A4D57">
      <w:pPr>
        <w:pStyle w:val="NormalWeb"/>
        <w:spacing w:before="0" w:beforeAutospacing="0" w:after="0" w:afterAutospacing="0"/>
        <w:jc w:val="both"/>
        <w:rPr>
          <w:rFonts w:ascii="Arial" w:eastAsia="Times" w:hAnsi="Arial" w:cs="Arial"/>
          <w:bCs/>
          <w:sz w:val="22"/>
          <w:szCs w:val="22"/>
          <w:lang w:eastAsia="en-US"/>
        </w:rPr>
      </w:pPr>
      <w:r w:rsidRPr="00CB6D1F">
        <w:rPr>
          <w:rFonts w:ascii="Arial" w:eastAsia="Times" w:hAnsi="Arial" w:cs="Arial"/>
          <w:bCs/>
          <w:sz w:val="22"/>
          <w:szCs w:val="22"/>
          <w:lang w:eastAsia="en-US"/>
        </w:rPr>
        <w:t xml:space="preserve">Industry also feels strongly that scrappage income should be permitted in the calculation of secured amounts. The guidelines justify this exclusion </w:t>
      </w:r>
      <w:proofErr w:type="gramStart"/>
      <w:r w:rsidRPr="00CB6D1F">
        <w:rPr>
          <w:rFonts w:ascii="Arial" w:eastAsia="Times" w:hAnsi="Arial" w:cs="Arial"/>
          <w:bCs/>
          <w:sz w:val="22"/>
          <w:szCs w:val="22"/>
          <w:lang w:eastAsia="en-US"/>
        </w:rPr>
        <w:t>on the basis of</w:t>
      </w:r>
      <w:proofErr w:type="gramEnd"/>
      <w:r w:rsidRPr="00CB6D1F">
        <w:rPr>
          <w:rFonts w:ascii="Arial" w:eastAsia="Times" w:hAnsi="Arial" w:cs="Arial"/>
          <w:bCs/>
          <w:sz w:val="22"/>
          <w:szCs w:val="22"/>
          <w:lang w:eastAsia="en-US"/>
        </w:rPr>
        <w:t xml:space="preserve"> commodity </w:t>
      </w:r>
      <w:r w:rsidR="00971FC6" w:rsidRPr="00CB6D1F">
        <w:rPr>
          <w:rFonts w:ascii="Arial" w:eastAsia="Times" w:hAnsi="Arial" w:cs="Arial"/>
          <w:bCs/>
          <w:sz w:val="22"/>
          <w:szCs w:val="22"/>
          <w:lang w:eastAsia="en-US"/>
        </w:rPr>
        <w:t>volatility but</w:t>
      </w:r>
      <w:r w:rsidRPr="00CB6D1F">
        <w:rPr>
          <w:rFonts w:ascii="Arial" w:eastAsia="Times" w:hAnsi="Arial" w:cs="Arial"/>
          <w:bCs/>
          <w:sz w:val="22"/>
          <w:szCs w:val="22"/>
          <w:lang w:eastAsia="en-US"/>
        </w:rPr>
        <w:t xml:space="preserve"> given the clear review process when prices can be adjusted, it seems inconsistent to treat scrappage income in this way. Industry would welcome discussion on an acceptable way forward for forecasting scrappage costs.</w:t>
      </w:r>
    </w:p>
    <w:p w14:paraId="6843B082" w14:textId="77777777" w:rsidR="00E24DA8" w:rsidRPr="00CB6D1F" w:rsidRDefault="00E24DA8" w:rsidP="006A4D57">
      <w:pPr>
        <w:pStyle w:val="NormalWeb"/>
        <w:spacing w:before="0" w:beforeAutospacing="0" w:after="0" w:afterAutospacing="0"/>
        <w:jc w:val="both"/>
        <w:rPr>
          <w:rFonts w:ascii="Arial" w:eastAsia="Times" w:hAnsi="Arial" w:cs="Arial"/>
          <w:bCs/>
          <w:sz w:val="22"/>
          <w:szCs w:val="22"/>
          <w:lang w:eastAsia="en-US"/>
        </w:rPr>
      </w:pPr>
    </w:p>
    <w:p w14:paraId="65F1F7D3" w14:textId="77777777" w:rsidR="006A4D57" w:rsidRPr="00CB6D1F" w:rsidRDefault="006A4D57" w:rsidP="006A4D57">
      <w:pPr>
        <w:pStyle w:val="NormalWeb"/>
        <w:spacing w:before="0" w:beforeAutospacing="0" w:after="0" w:afterAutospacing="0"/>
        <w:jc w:val="both"/>
        <w:rPr>
          <w:rFonts w:ascii="Arial" w:hAnsi="Arial" w:cs="Arial"/>
          <w:sz w:val="22"/>
          <w:szCs w:val="22"/>
        </w:rPr>
      </w:pPr>
      <w:r w:rsidRPr="00CB6D1F">
        <w:rPr>
          <w:rFonts w:ascii="Arial" w:hAnsi="Arial" w:cs="Arial"/>
          <w:sz w:val="22"/>
          <w:szCs w:val="22"/>
        </w:rPr>
        <w:t> </w:t>
      </w:r>
    </w:p>
    <w:p w14:paraId="0EBD35D1" w14:textId="77777777" w:rsidR="006A4D57" w:rsidRPr="00CB6D1F" w:rsidRDefault="006A4D57" w:rsidP="006A4D57">
      <w:pPr>
        <w:pStyle w:val="NormalWeb"/>
        <w:spacing w:before="0" w:beforeAutospacing="0" w:after="0" w:afterAutospacing="0"/>
        <w:jc w:val="both"/>
        <w:rPr>
          <w:rFonts w:ascii="Arial" w:eastAsia="Times" w:hAnsi="Arial" w:cs="Arial"/>
          <w:b/>
          <w:sz w:val="22"/>
          <w:szCs w:val="22"/>
          <w:lang w:eastAsia="en-US"/>
        </w:rPr>
      </w:pPr>
      <w:r w:rsidRPr="00CB6D1F">
        <w:rPr>
          <w:rFonts w:ascii="Arial" w:eastAsia="Times" w:hAnsi="Arial" w:cs="Arial"/>
          <w:b/>
          <w:sz w:val="22"/>
          <w:szCs w:val="22"/>
          <w:lang w:eastAsia="en-US"/>
        </w:rPr>
        <w:t xml:space="preserve">4. We are proposing to include a requirement for developers to set out inflation on their securities up to the end of the project lifetime, as set out in the draft guidance document at section 8.8-8.11. Do you have any comments on this proposal? Please explain your view. </w:t>
      </w:r>
    </w:p>
    <w:p w14:paraId="7B853256" w14:textId="77777777" w:rsidR="00ED1142" w:rsidRPr="00CB6D1F" w:rsidRDefault="00ED1142" w:rsidP="006A4D57">
      <w:pPr>
        <w:pStyle w:val="NormalWeb"/>
        <w:spacing w:before="0" w:beforeAutospacing="0" w:after="0" w:afterAutospacing="0"/>
        <w:jc w:val="both"/>
        <w:rPr>
          <w:rFonts w:ascii="Arial" w:hAnsi="Arial" w:cs="Arial"/>
          <w:bCs/>
          <w:sz w:val="22"/>
          <w:szCs w:val="22"/>
        </w:rPr>
      </w:pPr>
    </w:p>
    <w:p w14:paraId="0BC65671" w14:textId="0730D50B" w:rsidR="006A4D57" w:rsidRPr="00CB6D1F" w:rsidRDefault="00ED1142" w:rsidP="00ED1142">
      <w:pPr>
        <w:pStyle w:val="NormalWeb"/>
        <w:spacing w:before="0" w:beforeAutospacing="0" w:after="0" w:afterAutospacing="0"/>
        <w:jc w:val="both"/>
        <w:rPr>
          <w:rFonts w:ascii="Arial" w:eastAsia="Times" w:hAnsi="Arial" w:cs="Arial"/>
          <w:bCs/>
          <w:color w:val="FF0000"/>
          <w:sz w:val="22"/>
          <w:szCs w:val="22"/>
          <w:lang w:eastAsia="en-US"/>
        </w:rPr>
      </w:pPr>
      <w:r w:rsidRPr="00CB6D1F">
        <w:rPr>
          <w:rFonts w:ascii="Arial" w:eastAsia="Times" w:hAnsi="Arial" w:cs="Arial"/>
          <w:bCs/>
          <w:sz w:val="22"/>
          <w:szCs w:val="22"/>
          <w:lang w:eastAsia="en-US"/>
        </w:rPr>
        <w:t>S</w:t>
      </w:r>
      <w:r w:rsidR="006A4D57" w:rsidRPr="00CB6D1F">
        <w:rPr>
          <w:rFonts w:ascii="Arial" w:eastAsia="Times" w:hAnsi="Arial" w:cs="Arial"/>
          <w:bCs/>
          <w:sz w:val="22"/>
          <w:szCs w:val="22"/>
          <w:lang w:eastAsia="en-US"/>
        </w:rPr>
        <w:t xml:space="preserve">ecurities </w:t>
      </w:r>
      <w:r w:rsidRPr="00CB6D1F">
        <w:rPr>
          <w:rFonts w:ascii="Arial" w:eastAsia="Times" w:hAnsi="Arial" w:cs="Arial"/>
          <w:bCs/>
          <w:sz w:val="22"/>
          <w:szCs w:val="22"/>
          <w:lang w:eastAsia="en-US"/>
        </w:rPr>
        <w:t>should</w:t>
      </w:r>
      <w:r w:rsidR="006A4D57" w:rsidRPr="00CB6D1F">
        <w:rPr>
          <w:rFonts w:ascii="Arial" w:eastAsia="Times" w:hAnsi="Arial" w:cs="Arial"/>
          <w:bCs/>
          <w:sz w:val="22"/>
          <w:szCs w:val="22"/>
          <w:lang w:eastAsia="en-US"/>
        </w:rPr>
        <w:t xml:space="preserve"> be in place </w:t>
      </w:r>
      <w:r w:rsidRPr="00CB6D1F">
        <w:rPr>
          <w:rFonts w:ascii="Arial" w:eastAsia="Times" w:hAnsi="Arial" w:cs="Arial"/>
          <w:bCs/>
          <w:sz w:val="22"/>
          <w:szCs w:val="22"/>
          <w:lang w:eastAsia="en-US"/>
        </w:rPr>
        <w:t xml:space="preserve">to </w:t>
      </w:r>
      <w:r w:rsidR="006A4D57" w:rsidRPr="00CB6D1F">
        <w:rPr>
          <w:rFonts w:ascii="Arial" w:eastAsia="Times" w:hAnsi="Arial" w:cs="Arial"/>
          <w:bCs/>
          <w:sz w:val="22"/>
          <w:szCs w:val="22"/>
          <w:lang w:eastAsia="en-US"/>
        </w:rPr>
        <w:t>cover the decommissioning costs applying as of the current year</w:t>
      </w:r>
      <w:r w:rsidRPr="00CB6D1F">
        <w:rPr>
          <w:rFonts w:ascii="Arial" w:eastAsia="Times" w:hAnsi="Arial" w:cs="Arial"/>
          <w:bCs/>
          <w:sz w:val="22"/>
          <w:szCs w:val="22"/>
          <w:lang w:eastAsia="en-US"/>
        </w:rPr>
        <w:t xml:space="preserve"> </w:t>
      </w:r>
    </w:p>
    <w:p w14:paraId="10D83C69" w14:textId="7254C863" w:rsidR="001926C2" w:rsidRPr="00CB6D1F" w:rsidRDefault="001926C2" w:rsidP="00ED1142">
      <w:pPr>
        <w:pStyle w:val="NormalWeb"/>
        <w:spacing w:before="0" w:beforeAutospacing="0" w:after="0" w:afterAutospacing="0"/>
        <w:jc w:val="both"/>
        <w:rPr>
          <w:rFonts w:ascii="Arial" w:eastAsia="Times" w:hAnsi="Arial" w:cs="Arial"/>
          <w:bCs/>
          <w:color w:val="FF0000"/>
          <w:sz w:val="22"/>
          <w:szCs w:val="22"/>
          <w:lang w:eastAsia="en-US"/>
        </w:rPr>
      </w:pPr>
    </w:p>
    <w:p w14:paraId="39986BBC" w14:textId="2D2CCAED" w:rsidR="007E3041" w:rsidRPr="00CB6D1F" w:rsidRDefault="007E3041" w:rsidP="00ED1142">
      <w:pPr>
        <w:pStyle w:val="NormalWeb"/>
        <w:spacing w:before="0" w:beforeAutospacing="0" w:after="0" w:afterAutospacing="0"/>
        <w:jc w:val="both"/>
        <w:rPr>
          <w:rFonts w:ascii="Arial" w:eastAsia="Times" w:hAnsi="Arial" w:cs="Arial"/>
          <w:bCs/>
          <w:sz w:val="22"/>
          <w:szCs w:val="22"/>
          <w:lang w:eastAsia="en-US"/>
        </w:rPr>
      </w:pPr>
      <w:r w:rsidRPr="00CB6D1F">
        <w:rPr>
          <w:rFonts w:ascii="Arial" w:eastAsia="Times" w:hAnsi="Arial" w:cs="Arial"/>
          <w:bCs/>
          <w:sz w:val="22"/>
          <w:szCs w:val="22"/>
          <w:lang w:eastAsia="en-US"/>
        </w:rPr>
        <w:t>Industry is keen to ensure that there is no double-counting of inflation costs, and that this guidance aligns with any comparable requirements from Crown Estate Scotland.</w:t>
      </w:r>
    </w:p>
    <w:p w14:paraId="52EED36A" w14:textId="77777777" w:rsidR="006A4D57" w:rsidRPr="00CB6D1F" w:rsidRDefault="006A4D57" w:rsidP="006A4D57">
      <w:pPr>
        <w:pStyle w:val="NormalWeb"/>
        <w:spacing w:before="0" w:beforeAutospacing="0" w:after="0" w:afterAutospacing="0"/>
        <w:jc w:val="both"/>
        <w:rPr>
          <w:rFonts w:ascii="Arial" w:eastAsia="Times" w:hAnsi="Arial" w:cs="Arial"/>
          <w:b/>
          <w:sz w:val="22"/>
          <w:szCs w:val="22"/>
          <w:lang w:eastAsia="en-US"/>
        </w:rPr>
      </w:pPr>
      <w:r w:rsidRPr="00CB6D1F">
        <w:rPr>
          <w:rFonts w:ascii="Arial" w:eastAsia="Times" w:hAnsi="Arial" w:cs="Arial"/>
          <w:b/>
          <w:sz w:val="22"/>
          <w:szCs w:val="22"/>
          <w:lang w:eastAsia="en-US"/>
        </w:rPr>
        <w:t> </w:t>
      </w:r>
    </w:p>
    <w:p w14:paraId="2F316359" w14:textId="77777777" w:rsidR="006A4D57" w:rsidRPr="00CB6D1F" w:rsidRDefault="006A4D57" w:rsidP="006A4D57">
      <w:pPr>
        <w:pStyle w:val="NormalWeb"/>
        <w:spacing w:before="0" w:beforeAutospacing="0" w:after="0" w:afterAutospacing="0"/>
        <w:jc w:val="both"/>
        <w:rPr>
          <w:rFonts w:ascii="Arial" w:eastAsia="Times" w:hAnsi="Arial" w:cs="Arial"/>
          <w:b/>
          <w:sz w:val="22"/>
          <w:szCs w:val="22"/>
          <w:lang w:eastAsia="en-US"/>
        </w:rPr>
      </w:pPr>
      <w:r w:rsidRPr="00CB6D1F">
        <w:rPr>
          <w:rFonts w:ascii="Arial" w:eastAsia="Times" w:hAnsi="Arial" w:cs="Arial"/>
          <w:b/>
          <w:sz w:val="22"/>
          <w:szCs w:val="22"/>
          <w:lang w:eastAsia="en-US"/>
        </w:rPr>
        <w:t xml:space="preserve">5. Do you agree or disagree with the proposed timescales for review of decommissioning programmes set out in sections 5.24 – 5.29? Agree Disagree Do you have any further comments on these suggested review schedules? </w:t>
      </w:r>
    </w:p>
    <w:p w14:paraId="3B980534" w14:textId="77777777" w:rsidR="00685667" w:rsidRPr="00CB6D1F" w:rsidRDefault="00685667" w:rsidP="006A4D57">
      <w:pPr>
        <w:pStyle w:val="NormalWeb"/>
        <w:spacing w:before="0" w:beforeAutospacing="0" w:after="0" w:afterAutospacing="0"/>
        <w:jc w:val="both"/>
        <w:rPr>
          <w:rFonts w:ascii="Arial" w:hAnsi="Arial" w:cs="Arial"/>
          <w:bCs/>
          <w:sz w:val="22"/>
          <w:szCs w:val="22"/>
        </w:rPr>
      </w:pPr>
    </w:p>
    <w:p w14:paraId="14BD1F02" w14:textId="5245DB54" w:rsidR="006A4D57" w:rsidRPr="00CB6D1F" w:rsidRDefault="00685667" w:rsidP="006A4D57">
      <w:pPr>
        <w:pStyle w:val="NormalWeb"/>
        <w:spacing w:before="0" w:beforeAutospacing="0" w:after="0" w:afterAutospacing="0"/>
        <w:jc w:val="both"/>
        <w:rPr>
          <w:rFonts w:ascii="Arial" w:hAnsi="Arial" w:cs="Arial"/>
          <w:sz w:val="22"/>
          <w:szCs w:val="22"/>
        </w:rPr>
      </w:pPr>
      <w:r w:rsidRPr="00CB6D1F">
        <w:rPr>
          <w:rFonts w:ascii="Arial" w:eastAsia="Times" w:hAnsi="Arial" w:cs="Arial"/>
          <w:bCs/>
          <w:sz w:val="22"/>
          <w:szCs w:val="22"/>
          <w:lang w:eastAsia="en-US"/>
        </w:rPr>
        <w:t>Agree</w:t>
      </w:r>
    </w:p>
    <w:p w14:paraId="365B42C1" w14:textId="77777777" w:rsidR="006A4D57" w:rsidRPr="00CB6D1F" w:rsidRDefault="006A4D57" w:rsidP="006A4D57">
      <w:pPr>
        <w:pStyle w:val="NormalWeb"/>
        <w:spacing w:before="0" w:beforeAutospacing="0" w:after="0" w:afterAutospacing="0"/>
        <w:jc w:val="both"/>
        <w:rPr>
          <w:rFonts w:ascii="Arial" w:hAnsi="Arial" w:cs="Arial"/>
          <w:sz w:val="22"/>
          <w:szCs w:val="22"/>
        </w:rPr>
      </w:pPr>
      <w:r w:rsidRPr="00CB6D1F">
        <w:rPr>
          <w:rFonts w:ascii="Arial" w:hAnsi="Arial" w:cs="Arial"/>
          <w:sz w:val="22"/>
          <w:szCs w:val="22"/>
        </w:rPr>
        <w:t> </w:t>
      </w:r>
    </w:p>
    <w:p w14:paraId="661CB456" w14:textId="77777777" w:rsidR="006A4D57" w:rsidRPr="00CB6D1F" w:rsidRDefault="006A4D57" w:rsidP="006A4D57">
      <w:pPr>
        <w:pStyle w:val="NormalWeb"/>
        <w:spacing w:before="0" w:beforeAutospacing="0" w:after="0" w:afterAutospacing="0"/>
        <w:jc w:val="both"/>
        <w:rPr>
          <w:rFonts w:ascii="Arial" w:eastAsia="Times" w:hAnsi="Arial" w:cs="Arial"/>
          <w:b/>
          <w:sz w:val="22"/>
          <w:szCs w:val="22"/>
          <w:lang w:eastAsia="en-US"/>
        </w:rPr>
      </w:pPr>
      <w:r w:rsidRPr="00CB6D1F">
        <w:rPr>
          <w:rFonts w:ascii="Arial" w:eastAsia="Times" w:hAnsi="Arial" w:cs="Arial"/>
          <w:b/>
          <w:sz w:val="22"/>
          <w:szCs w:val="22"/>
          <w:lang w:eastAsia="en-US"/>
        </w:rPr>
        <w:t xml:space="preserve">6. We aim to ensure that all future offshore renewable energy installations have an approved decommissioning programme in place prior to construction, as this will help to manage the risk of projects going into the water without proper plans in place for removal. How achievable is this for developers? What are the challenges for different types of project? Please explain your view. </w:t>
      </w:r>
    </w:p>
    <w:p w14:paraId="19CC53D7" w14:textId="77777777" w:rsidR="00426D2E" w:rsidRPr="00CB6D1F" w:rsidRDefault="00426D2E" w:rsidP="006A4D57">
      <w:pPr>
        <w:pStyle w:val="NormalWeb"/>
        <w:spacing w:before="0" w:beforeAutospacing="0" w:after="0" w:afterAutospacing="0"/>
        <w:jc w:val="both"/>
        <w:rPr>
          <w:rFonts w:ascii="Arial" w:hAnsi="Arial" w:cs="Arial"/>
          <w:bCs/>
          <w:sz w:val="22"/>
          <w:szCs w:val="22"/>
        </w:rPr>
      </w:pPr>
    </w:p>
    <w:p w14:paraId="7F02FBB6" w14:textId="1EC54EA9" w:rsidR="00C2264D" w:rsidRPr="00CB6D1F" w:rsidRDefault="00426D2E" w:rsidP="006A4D57">
      <w:pPr>
        <w:pStyle w:val="NormalWeb"/>
        <w:spacing w:before="0" w:beforeAutospacing="0" w:after="0" w:afterAutospacing="0"/>
        <w:jc w:val="both"/>
        <w:rPr>
          <w:rFonts w:ascii="Arial" w:eastAsia="Times" w:hAnsi="Arial" w:cs="Arial"/>
          <w:bCs/>
          <w:sz w:val="22"/>
          <w:szCs w:val="22"/>
          <w:lang w:eastAsia="en-US"/>
        </w:rPr>
      </w:pPr>
      <w:r w:rsidRPr="00CB6D1F">
        <w:rPr>
          <w:rFonts w:ascii="Arial" w:eastAsia="Times" w:hAnsi="Arial" w:cs="Arial"/>
          <w:bCs/>
          <w:sz w:val="22"/>
          <w:szCs w:val="22"/>
          <w:lang w:eastAsia="en-US"/>
        </w:rPr>
        <w:t>Industry supports the proposal to ensure all future offshore renewable energy installations in Scotland have an approved decommissioning programme in place prior to construction</w:t>
      </w:r>
      <w:r w:rsidR="00EA32CE" w:rsidRPr="00CB6D1F">
        <w:rPr>
          <w:rFonts w:ascii="Arial" w:eastAsia="Times" w:hAnsi="Arial" w:cs="Arial"/>
          <w:bCs/>
          <w:sz w:val="22"/>
          <w:szCs w:val="22"/>
          <w:lang w:eastAsia="en-US"/>
        </w:rPr>
        <w:t xml:space="preserve">, however there is concern that this could add uncertainty and risk to the overall process, </w:t>
      </w:r>
      <w:r w:rsidR="007E3041" w:rsidRPr="00CB6D1F">
        <w:rPr>
          <w:rFonts w:ascii="Arial" w:eastAsia="Times" w:hAnsi="Arial" w:cs="Arial"/>
          <w:bCs/>
          <w:sz w:val="22"/>
          <w:szCs w:val="22"/>
          <w:lang w:eastAsia="en-US"/>
        </w:rPr>
        <w:t xml:space="preserve">as </w:t>
      </w:r>
      <w:r w:rsidR="00C2264D" w:rsidRPr="00CB6D1F">
        <w:rPr>
          <w:rFonts w:ascii="Arial" w:eastAsia="Times" w:hAnsi="Arial" w:cs="Arial"/>
          <w:bCs/>
          <w:sz w:val="22"/>
          <w:szCs w:val="22"/>
          <w:lang w:eastAsia="en-US"/>
        </w:rPr>
        <w:t xml:space="preserve">developers will </w:t>
      </w:r>
      <w:r w:rsidR="007E3041" w:rsidRPr="00CB6D1F">
        <w:rPr>
          <w:rFonts w:ascii="Arial" w:eastAsia="Times" w:hAnsi="Arial" w:cs="Arial"/>
          <w:bCs/>
          <w:sz w:val="22"/>
          <w:szCs w:val="22"/>
          <w:lang w:eastAsia="en-US"/>
        </w:rPr>
        <w:t xml:space="preserve">clearly not have </w:t>
      </w:r>
      <w:r w:rsidR="00EA32CE" w:rsidRPr="00CB6D1F">
        <w:rPr>
          <w:rFonts w:ascii="Arial" w:eastAsia="Times" w:hAnsi="Arial" w:cs="Arial"/>
          <w:bCs/>
          <w:sz w:val="22"/>
          <w:szCs w:val="22"/>
          <w:lang w:eastAsia="en-US"/>
        </w:rPr>
        <w:t>full details at</w:t>
      </w:r>
      <w:r w:rsidR="00C2264D" w:rsidRPr="00CB6D1F">
        <w:rPr>
          <w:rFonts w:ascii="Arial" w:eastAsia="Times" w:hAnsi="Arial" w:cs="Arial"/>
          <w:bCs/>
          <w:sz w:val="22"/>
          <w:szCs w:val="22"/>
          <w:lang w:eastAsia="en-US"/>
        </w:rPr>
        <w:t xml:space="preserve"> this stage. </w:t>
      </w:r>
    </w:p>
    <w:p w14:paraId="26964796" w14:textId="77777777" w:rsidR="00C2264D" w:rsidRPr="00CB6D1F" w:rsidRDefault="00C2264D" w:rsidP="006A4D57">
      <w:pPr>
        <w:pStyle w:val="NormalWeb"/>
        <w:spacing w:before="0" w:beforeAutospacing="0" w:after="0" w:afterAutospacing="0"/>
        <w:jc w:val="both"/>
        <w:rPr>
          <w:rFonts w:ascii="Arial" w:eastAsia="Times" w:hAnsi="Arial" w:cs="Arial"/>
          <w:bCs/>
          <w:sz w:val="22"/>
          <w:szCs w:val="22"/>
          <w:lang w:eastAsia="en-US"/>
        </w:rPr>
      </w:pPr>
    </w:p>
    <w:p w14:paraId="6D4A38E1" w14:textId="6DC43508" w:rsidR="005A62EB" w:rsidRPr="00CB6D1F" w:rsidRDefault="00EA32CE" w:rsidP="006A4D57">
      <w:pPr>
        <w:pStyle w:val="NormalWeb"/>
        <w:spacing w:before="0" w:beforeAutospacing="0" w:after="0" w:afterAutospacing="0"/>
        <w:jc w:val="both"/>
        <w:rPr>
          <w:rFonts w:ascii="Arial" w:eastAsia="Times" w:hAnsi="Arial" w:cs="Arial"/>
          <w:bCs/>
          <w:sz w:val="22"/>
          <w:szCs w:val="22"/>
          <w:lang w:eastAsia="en-US"/>
        </w:rPr>
      </w:pPr>
      <w:r w:rsidRPr="00CB6D1F">
        <w:rPr>
          <w:rFonts w:ascii="Arial" w:eastAsia="Times" w:hAnsi="Arial" w:cs="Arial"/>
          <w:bCs/>
          <w:sz w:val="22"/>
          <w:szCs w:val="22"/>
          <w:lang w:eastAsia="en-US"/>
        </w:rPr>
        <w:lastRenderedPageBreak/>
        <w:t xml:space="preserve">Industry would welcome further clarity on why this is a requirement so early on. </w:t>
      </w:r>
      <w:r w:rsidR="005A62EB" w:rsidRPr="00CB6D1F">
        <w:rPr>
          <w:rFonts w:ascii="Arial" w:eastAsia="Times" w:hAnsi="Arial" w:cs="Arial"/>
          <w:bCs/>
          <w:sz w:val="22"/>
          <w:szCs w:val="22"/>
          <w:lang w:eastAsia="en-US"/>
        </w:rPr>
        <w:t xml:space="preserve">For wave and tidal projects seeking to test at EMEC, these timescales are not at all practical, </w:t>
      </w:r>
      <w:r w:rsidR="00DC5C74" w:rsidRPr="00CB6D1F">
        <w:rPr>
          <w:rFonts w:ascii="Arial" w:eastAsia="Times" w:hAnsi="Arial" w:cs="Arial"/>
          <w:bCs/>
          <w:sz w:val="22"/>
          <w:szCs w:val="22"/>
          <w:lang w:eastAsia="en-US"/>
        </w:rPr>
        <w:t xml:space="preserve">with typical timescales being 3-9 months depending on the scale of testing. </w:t>
      </w:r>
    </w:p>
    <w:p w14:paraId="0BF91C59" w14:textId="77777777" w:rsidR="005A62EB" w:rsidRPr="00CB6D1F" w:rsidRDefault="005A62EB" w:rsidP="006A4D57">
      <w:pPr>
        <w:pStyle w:val="NormalWeb"/>
        <w:spacing w:before="0" w:beforeAutospacing="0" w:after="0" w:afterAutospacing="0"/>
        <w:jc w:val="both"/>
        <w:rPr>
          <w:rFonts w:ascii="Arial" w:eastAsia="Times" w:hAnsi="Arial" w:cs="Arial"/>
          <w:bCs/>
          <w:sz w:val="22"/>
          <w:szCs w:val="22"/>
          <w:lang w:eastAsia="en-US"/>
        </w:rPr>
      </w:pPr>
    </w:p>
    <w:p w14:paraId="72884A65" w14:textId="061FC5EF" w:rsidR="006A4D57" w:rsidRPr="00CB6D1F" w:rsidRDefault="00EA32CE" w:rsidP="006A4D57">
      <w:pPr>
        <w:pStyle w:val="NormalWeb"/>
        <w:spacing w:before="0" w:beforeAutospacing="0" w:after="0" w:afterAutospacing="0"/>
        <w:jc w:val="both"/>
        <w:rPr>
          <w:rFonts w:ascii="Arial" w:hAnsi="Arial" w:cs="Arial"/>
          <w:sz w:val="22"/>
          <w:szCs w:val="22"/>
        </w:rPr>
      </w:pPr>
      <w:r w:rsidRPr="00CB6D1F">
        <w:rPr>
          <w:rFonts w:ascii="Arial" w:eastAsia="Times" w:hAnsi="Arial" w:cs="Arial"/>
          <w:bCs/>
          <w:sz w:val="22"/>
          <w:szCs w:val="22"/>
          <w:lang w:eastAsia="en-US"/>
        </w:rPr>
        <w:t>Additionally, t</w:t>
      </w:r>
      <w:r w:rsidR="00426D2E" w:rsidRPr="00CB6D1F">
        <w:rPr>
          <w:rFonts w:ascii="Arial" w:eastAsia="Times" w:hAnsi="Arial" w:cs="Arial"/>
          <w:bCs/>
          <w:sz w:val="22"/>
          <w:szCs w:val="22"/>
          <w:lang w:eastAsia="en-US"/>
        </w:rPr>
        <w:t>o allow for competition within the UK wind market, offshore installations in England and Wales should also be subject to this requirement.</w:t>
      </w:r>
      <w:r w:rsidR="00C2264D" w:rsidRPr="00CB6D1F">
        <w:rPr>
          <w:rFonts w:ascii="Arial" w:eastAsia="Times" w:hAnsi="Arial" w:cs="Arial"/>
          <w:bCs/>
          <w:sz w:val="22"/>
          <w:szCs w:val="22"/>
          <w:lang w:eastAsia="en-US"/>
        </w:rPr>
        <w:t xml:space="preserve"> Industry is also concerned that any lack of resource from Scottish Ministers in approving the programme could have an impact on the commencement of construction, and that reciprocal commitments should be made on response times.</w:t>
      </w:r>
    </w:p>
    <w:p w14:paraId="1B7D103A" w14:textId="77777777" w:rsidR="005A62EB" w:rsidRPr="00CB6D1F" w:rsidRDefault="005A62EB" w:rsidP="006A4D57">
      <w:pPr>
        <w:pStyle w:val="NormalWeb"/>
        <w:spacing w:before="0" w:beforeAutospacing="0" w:after="0" w:afterAutospacing="0"/>
        <w:jc w:val="both"/>
        <w:rPr>
          <w:rFonts w:ascii="Arial" w:hAnsi="Arial" w:cs="Arial"/>
          <w:sz w:val="22"/>
          <w:szCs w:val="22"/>
        </w:rPr>
      </w:pPr>
    </w:p>
    <w:p w14:paraId="72B69471" w14:textId="77777777" w:rsidR="00B4495B" w:rsidRPr="00CB6D1F" w:rsidRDefault="00B4495B" w:rsidP="006A4D57">
      <w:pPr>
        <w:pStyle w:val="NormalWeb"/>
        <w:spacing w:before="0" w:beforeAutospacing="0" w:after="0" w:afterAutospacing="0"/>
        <w:jc w:val="both"/>
        <w:rPr>
          <w:rFonts w:ascii="Arial" w:eastAsia="Times" w:hAnsi="Arial" w:cs="Arial"/>
          <w:bCs/>
          <w:sz w:val="22"/>
          <w:szCs w:val="22"/>
          <w:lang w:eastAsia="en-US"/>
        </w:rPr>
      </w:pPr>
    </w:p>
    <w:p w14:paraId="719B0C16" w14:textId="77777777" w:rsidR="006A4D57" w:rsidRPr="00CB6D1F" w:rsidRDefault="006A4D57" w:rsidP="006A4D57">
      <w:pPr>
        <w:pStyle w:val="NormalWeb"/>
        <w:spacing w:before="0" w:beforeAutospacing="0" w:after="0" w:afterAutospacing="0"/>
        <w:jc w:val="both"/>
        <w:rPr>
          <w:rFonts w:ascii="Arial" w:eastAsia="Times" w:hAnsi="Arial" w:cs="Arial"/>
          <w:b/>
          <w:sz w:val="22"/>
          <w:szCs w:val="22"/>
          <w:lang w:eastAsia="en-US"/>
        </w:rPr>
      </w:pPr>
      <w:r w:rsidRPr="00CB6D1F">
        <w:rPr>
          <w:rFonts w:ascii="Arial" w:eastAsia="Times" w:hAnsi="Arial" w:cs="Arial"/>
          <w:b/>
          <w:sz w:val="22"/>
          <w:szCs w:val="22"/>
          <w:lang w:eastAsia="en-US"/>
        </w:rPr>
        <w:t xml:space="preserve">7. We have provided a draft template for a decommissioning programme as this </w:t>
      </w:r>
      <w:proofErr w:type="gramStart"/>
      <w:r w:rsidRPr="00CB6D1F">
        <w:rPr>
          <w:rFonts w:ascii="Arial" w:eastAsia="Times" w:hAnsi="Arial" w:cs="Arial"/>
          <w:b/>
          <w:sz w:val="22"/>
          <w:szCs w:val="22"/>
          <w:lang w:eastAsia="en-US"/>
        </w:rPr>
        <w:t>was something that was</w:t>
      </w:r>
      <w:proofErr w:type="gramEnd"/>
      <w:r w:rsidRPr="00CB6D1F">
        <w:rPr>
          <w:rFonts w:ascii="Arial" w:eastAsia="Times" w:hAnsi="Arial" w:cs="Arial"/>
          <w:b/>
          <w:sz w:val="22"/>
          <w:szCs w:val="22"/>
          <w:lang w:eastAsia="en-US"/>
        </w:rPr>
        <w:t xml:space="preserve"> highlighted as good practice from the oil and gas sector. Do you think that a template is useful? Yes/ No Do you have any suggestions on how it could be improved?</w:t>
      </w:r>
    </w:p>
    <w:p w14:paraId="45A1DDDC" w14:textId="77777777" w:rsidR="00F8383C" w:rsidRPr="00CB6D1F" w:rsidRDefault="00F8383C" w:rsidP="006A4D57">
      <w:pPr>
        <w:jc w:val="both"/>
        <w:rPr>
          <w:rFonts w:ascii="Arial" w:hAnsi="Arial" w:cs="Arial"/>
          <w:color w:val="FF0000"/>
          <w:sz w:val="22"/>
          <w:szCs w:val="22"/>
        </w:rPr>
      </w:pPr>
    </w:p>
    <w:p w14:paraId="5839AF52" w14:textId="599D1758" w:rsidR="00F8383C" w:rsidRPr="00CB6D1F" w:rsidRDefault="006B6F7A" w:rsidP="006A4D57">
      <w:pPr>
        <w:jc w:val="both"/>
        <w:rPr>
          <w:rFonts w:ascii="Arial" w:hAnsi="Arial" w:cs="Arial"/>
          <w:sz w:val="22"/>
          <w:szCs w:val="22"/>
        </w:rPr>
      </w:pPr>
      <w:r w:rsidRPr="00CB6D1F">
        <w:rPr>
          <w:rFonts w:ascii="Arial" w:hAnsi="Arial" w:cs="Arial"/>
          <w:sz w:val="22"/>
          <w:szCs w:val="22"/>
        </w:rPr>
        <w:t xml:space="preserve">In general, industry notes that the requirement for content to be included in the template is very detailed and would welcome clarity as to why this level of detail is required. Additionally, industry raises the following comments on specifics of the template: </w:t>
      </w:r>
    </w:p>
    <w:p w14:paraId="01C1AB5E" w14:textId="77777777" w:rsidR="00FA586B" w:rsidRPr="00CB6D1F" w:rsidRDefault="00FA586B" w:rsidP="00FA586B">
      <w:pPr>
        <w:jc w:val="both"/>
        <w:rPr>
          <w:rFonts w:ascii="Arial" w:hAnsi="Arial" w:cs="Arial"/>
          <w:sz w:val="22"/>
          <w:szCs w:val="22"/>
        </w:rPr>
      </w:pPr>
    </w:p>
    <w:p w14:paraId="6187F6D4" w14:textId="0A8B910D" w:rsidR="00FA586B" w:rsidRPr="00CB6D1F" w:rsidRDefault="00F8383C" w:rsidP="00FA586B">
      <w:pPr>
        <w:jc w:val="both"/>
        <w:rPr>
          <w:rFonts w:ascii="Arial" w:hAnsi="Arial" w:cs="Arial"/>
          <w:sz w:val="22"/>
          <w:szCs w:val="22"/>
        </w:rPr>
      </w:pPr>
      <w:r w:rsidRPr="00CB6D1F">
        <w:rPr>
          <w:rFonts w:ascii="Arial" w:hAnsi="Arial" w:cs="Arial"/>
          <w:sz w:val="22"/>
          <w:szCs w:val="22"/>
        </w:rPr>
        <w:t>Section 4</w:t>
      </w:r>
      <w:r w:rsidR="00FA586B" w:rsidRPr="00CB6D1F">
        <w:rPr>
          <w:rFonts w:ascii="Arial" w:hAnsi="Arial" w:cs="Arial"/>
          <w:sz w:val="22"/>
          <w:szCs w:val="22"/>
        </w:rPr>
        <w:t xml:space="preserve"> - </w:t>
      </w:r>
      <w:r w:rsidRPr="00CB6D1F">
        <w:rPr>
          <w:rFonts w:ascii="Arial" w:hAnsi="Arial" w:cs="Arial"/>
          <w:sz w:val="22"/>
          <w:szCs w:val="22"/>
        </w:rPr>
        <w:t xml:space="preserve"> </w:t>
      </w:r>
    </w:p>
    <w:p w14:paraId="13A4B757" w14:textId="5883F3D2" w:rsidR="00F8383C" w:rsidRPr="00CB6D1F" w:rsidRDefault="00FA586B" w:rsidP="00DC7E0A">
      <w:pPr>
        <w:pStyle w:val="ListParagraph"/>
        <w:numPr>
          <w:ilvl w:val="0"/>
          <w:numId w:val="2"/>
        </w:numPr>
        <w:ind w:left="284" w:hanging="284"/>
        <w:jc w:val="both"/>
        <w:rPr>
          <w:rFonts w:ascii="Arial" w:eastAsia="Times" w:hAnsi="Arial" w:cs="Arial"/>
        </w:rPr>
      </w:pPr>
      <w:r w:rsidRPr="00CB6D1F">
        <w:rPr>
          <w:rFonts w:ascii="Arial" w:eastAsia="Times" w:hAnsi="Arial" w:cs="Arial"/>
        </w:rPr>
        <w:t>A</w:t>
      </w:r>
      <w:r w:rsidR="00F8383C" w:rsidRPr="00CB6D1F">
        <w:rPr>
          <w:rFonts w:ascii="Arial" w:eastAsia="Times" w:hAnsi="Arial" w:cs="Arial"/>
        </w:rPr>
        <w:t xml:space="preserve"> detailed description of items to be decommissioned is required. </w:t>
      </w:r>
    </w:p>
    <w:p w14:paraId="592D9575" w14:textId="611C14CB" w:rsidR="00FA586B" w:rsidRPr="00CB6D1F" w:rsidRDefault="00FA586B" w:rsidP="00DC7E0A">
      <w:pPr>
        <w:pStyle w:val="ListParagraph"/>
        <w:numPr>
          <w:ilvl w:val="0"/>
          <w:numId w:val="2"/>
        </w:numPr>
        <w:ind w:left="284" w:hanging="284"/>
        <w:jc w:val="both"/>
        <w:rPr>
          <w:rFonts w:ascii="Arial" w:eastAsia="Times" w:hAnsi="Arial" w:cs="Arial"/>
        </w:rPr>
      </w:pPr>
      <w:r w:rsidRPr="00CB6D1F">
        <w:rPr>
          <w:rFonts w:ascii="Arial" w:eastAsia="Times" w:hAnsi="Arial" w:cs="Arial"/>
        </w:rPr>
        <w:t xml:space="preserve">The requirement for a first draft of the document 18 months ahead of construction is too far in advance. A more phased approach should be considered. </w:t>
      </w:r>
    </w:p>
    <w:p w14:paraId="0D56AD1B" w14:textId="692E7B6F" w:rsidR="00FA586B" w:rsidRPr="00CB6D1F" w:rsidRDefault="00FA586B" w:rsidP="00DC7E0A">
      <w:pPr>
        <w:pStyle w:val="ListParagraph"/>
        <w:numPr>
          <w:ilvl w:val="0"/>
          <w:numId w:val="2"/>
        </w:numPr>
        <w:ind w:left="284" w:hanging="284"/>
        <w:jc w:val="both"/>
        <w:rPr>
          <w:rFonts w:ascii="Arial" w:eastAsia="Times" w:hAnsi="Arial" w:cs="Arial"/>
        </w:rPr>
      </w:pPr>
      <w:r w:rsidRPr="00CB6D1F">
        <w:rPr>
          <w:rFonts w:ascii="Arial" w:eastAsia="Times" w:hAnsi="Arial" w:cs="Arial"/>
        </w:rPr>
        <w:t>Industry notes that the difference in submission timeline requirements between Scotland and England means Marine Scotland’s approach is more onerous than BEIS’ requirement. Marine Scotland’s requires submission to Scottish Ministers ~18 months in advance of</w:t>
      </w:r>
      <w:r w:rsidR="00CE7FD2" w:rsidRPr="00CB6D1F">
        <w:rPr>
          <w:rFonts w:ascii="Arial" w:eastAsia="Times" w:hAnsi="Arial" w:cs="Arial"/>
        </w:rPr>
        <w:t xml:space="preserve"> </w:t>
      </w:r>
      <w:r w:rsidRPr="00CB6D1F">
        <w:rPr>
          <w:rFonts w:ascii="Arial" w:eastAsia="Times" w:hAnsi="Arial" w:cs="Arial"/>
        </w:rPr>
        <w:t>construction, comparatively to BEIS requiring submission only 12 months.</w:t>
      </w:r>
    </w:p>
    <w:p w14:paraId="1B240E18" w14:textId="47B917FB" w:rsidR="00F8383C" w:rsidRPr="00CB6D1F" w:rsidRDefault="00B27E08" w:rsidP="00CE7FD2">
      <w:pPr>
        <w:jc w:val="both"/>
        <w:rPr>
          <w:rFonts w:ascii="Arial" w:hAnsi="Arial" w:cs="Arial"/>
          <w:sz w:val="22"/>
          <w:szCs w:val="22"/>
        </w:rPr>
      </w:pPr>
      <w:r w:rsidRPr="00CB6D1F">
        <w:rPr>
          <w:rFonts w:ascii="Arial" w:hAnsi="Arial" w:cs="Arial"/>
          <w:sz w:val="22"/>
          <w:szCs w:val="22"/>
        </w:rPr>
        <w:t xml:space="preserve">Section 5 – </w:t>
      </w:r>
    </w:p>
    <w:p w14:paraId="13D4CE46" w14:textId="01A752D3" w:rsidR="00B27E08" w:rsidRPr="00CB6D1F" w:rsidRDefault="00B27E08" w:rsidP="00DC7E0A">
      <w:pPr>
        <w:pStyle w:val="ListParagraph"/>
        <w:numPr>
          <w:ilvl w:val="0"/>
          <w:numId w:val="2"/>
        </w:numPr>
        <w:ind w:left="284" w:hanging="284"/>
        <w:jc w:val="both"/>
        <w:rPr>
          <w:rFonts w:ascii="Arial" w:eastAsia="Times" w:hAnsi="Arial" w:cs="Arial"/>
        </w:rPr>
      </w:pPr>
      <w:r w:rsidRPr="00CB6D1F">
        <w:rPr>
          <w:rFonts w:ascii="Arial" w:eastAsia="Times" w:hAnsi="Arial" w:cs="Arial"/>
        </w:rPr>
        <w:t xml:space="preserve">Details of items left in situ are required. </w:t>
      </w:r>
    </w:p>
    <w:p w14:paraId="0B2118C3" w14:textId="536EA8B7" w:rsidR="00B27E08" w:rsidRPr="00CB6D1F" w:rsidRDefault="00B27E08" w:rsidP="00DC7E0A">
      <w:pPr>
        <w:pStyle w:val="ListParagraph"/>
        <w:numPr>
          <w:ilvl w:val="0"/>
          <w:numId w:val="2"/>
        </w:numPr>
        <w:ind w:left="284" w:hanging="284"/>
        <w:jc w:val="both"/>
        <w:rPr>
          <w:rFonts w:ascii="Arial" w:eastAsia="Times" w:hAnsi="Arial" w:cs="Arial"/>
        </w:rPr>
      </w:pPr>
      <w:r w:rsidRPr="00CB6D1F">
        <w:rPr>
          <w:rFonts w:ascii="Arial" w:eastAsia="Times" w:hAnsi="Arial" w:cs="Arial"/>
        </w:rPr>
        <w:t>Further clarity if required on the definition of “clear seabed” (cables left in situ or removed).</w:t>
      </w:r>
    </w:p>
    <w:p w14:paraId="574B4939" w14:textId="3E113BBE" w:rsidR="00B27E08" w:rsidRPr="00CB6D1F" w:rsidRDefault="00B27E08" w:rsidP="00CE7FD2">
      <w:pPr>
        <w:jc w:val="both"/>
        <w:rPr>
          <w:rFonts w:ascii="Arial" w:hAnsi="Arial" w:cs="Arial"/>
          <w:sz w:val="22"/>
          <w:szCs w:val="22"/>
        </w:rPr>
      </w:pPr>
      <w:r w:rsidRPr="00CB6D1F">
        <w:rPr>
          <w:rFonts w:ascii="Arial" w:hAnsi="Arial" w:cs="Arial"/>
          <w:sz w:val="22"/>
          <w:szCs w:val="22"/>
        </w:rPr>
        <w:t xml:space="preserve">Section 8 – </w:t>
      </w:r>
    </w:p>
    <w:p w14:paraId="19AD994D" w14:textId="306509F3" w:rsidR="006A4D57" w:rsidRPr="00CB6D1F" w:rsidRDefault="00B27E08" w:rsidP="00DC7E0A">
      <w:pPr>
        <w:pStyle w:val="ListParagraph"/>
        <w:numPr>
          <w:ilvl w:val="0"/>
          <w:numId w:val="2"/>
        </w:numPr>
        <w:ind w:left="284" w:hanging="284"/>
        <w:jc w:val="both"/>
        <w:rPr>
          <w:rFonts w:ascii="Arial" w:eastAsia="Times" w:hAnsi="Arial" w:cs="Arial"/>
        </w:rPr>
      </w:pPr>
      <w:r w:rsidRPr="00CB6D1F">
        <w:rPr>
          <w:rFonts w:ascii="Arial" w:eastAsia="Times" w:hAnsi="Arial" w:cs="Arial"/>
        </w:rPr>
        <w:t xml:space="preserve">The application of the template for costs/ securities is not clear: </w:t>
      </w:r>
      <w:r w:rsidR="00CE7FD2" w:rsidRPr="00CB6D1F">
        <w:rPr>
          <w:rFonts w:ascii="Arial" w:eastAsia="Times" w:hAnsi="Arial" w:cs="Arial"/>
        </w:rPr>
        <w:t>c</w:t>
      </w:r>
      <w:r w:rsidR="006A4D57" w:rsidRPr="00CB6D1F">
        <w:rPr>
          <w:rFonts w:ascii="Arial" w:eastAsia="Times" w:hAnsi="Arial" w:cs="Arial"/>
        </w:rPr>
        <w:t xml:space="preserve">olumns are in place for costs in "todays money" and for costs "at the point of decommissioning", against each work package. Additionally, there is a row for "inflation" and a separate "inflation calculator". It would seem logical that the figure in the "inflation calculator", be passed through into the "inflation" row, negating the need for the second column. </w:t>
      </w:r>
    </w:p>
    <w:p w14:paraId="33DEEE53" w14:textId="77777777" w:rsidR="006A4D57" w:rsidRPr="00CB6D1F" w:rsidRDefault="006A4D57" w:rsidP="006A4D57">
      <w:pPr>
        <w:pStyle w:val="NormalWeb"/>
        <w:spacing w:before="0" w:beforeAutospacing="0" w:after="0" w:afterAutospacing="0"/>
        <w:jc w:val="both"/>
        <w:rPr>
          <w:rFonts w:ascii="Arial" w:hAnsi="Arial" w:cs="Arial"/>
          <w:sz w:val="22"/>
          <w:szCs w:val="22"/>
        </w:rPr>
      </w:pPr>
      <w:r w:rsidRPr="00CB6D1F">
        <w:rPr>
          <w:rFonts w:ascii="Arial" w:hAnsi="Arial" w:cs="Arial"/>
          <w:sz w:val="22"/>
          <w:szCs w:val="22"/>
        </w:rPr>
        <w:t> </w:t>
      </w:r>
    </w:p>
    <w:p w14:paraId="0A69A758" w14:textId="77777777" w:rsidR="006A4D57" w:rsidRPr="00CB6D1F" w:rsidRDefault="006A4D57" w:rsidP="006A4D57">
      <w:pPr>
        <w:pStyle w:val="NormalWeb"/>
        <w:spacing w:before="0" w:beforeAutospacing="0" w:after="0" w:afterAutospacing="0"/>
        <w:jc w:val="both"/>
        <w:rPr>
          <w:rFonts w:ascii="Arial" w:eastAsia="Times" w:hAnsi="Arial" w:cs="Arial"/>
          <w:b/>
          <w:sz w:val="22"/>
          <w:szCs w:val="22"/>
          <w:lang w:eastAsia="en-US"/>
        </w:rPr>
      </w:pPr>
      <w:r w:rsidRPr="00CB6D1F">
        <w:rPr>
          <w:rFonts w:ascii="Arial" w:eastAsia="Times" w:hAnsi="Arial" w:cs="Arial"/>
          <w:b/>
          <w:sz w:val="22"/>
          <w:szCs w:val="22"/>
          <w:lang w:eastAsia="en-US"/>
        </w:rPr>
        <w:t xml:space="preserve">8. It seems likely that there will be cases where part of a windfarm or array may reach the end of its lifetime earlier than others, for example where the turbines at the edge wear out more quickly than those at the centre. We would be interested to hear views on how decommissioning might work in these scenarios, for example whether non-functioning turbines could or should be left in situ until the rest of the windfarm or array can be decommissioned, and what the risks of this approach might be, or any other risks or opportunities relating to the idea of “step-down” decommissioning. Please explain your view. </w:t>
      </w:r>
    </w:p>
    <w:p w14:paraId="358F616F" w14:textId="77777777" w:rsidR="00AE56C3" w:rsidRPr="00CB6D1F" w:rsidRDefault="00AE56C3" w:rsidP="006A4D57">
      <w:pPr>
        <w:pStyle w:val="NormalWeb"/>
        <w:spacing w:before="0" w:beforeAutospacing="0" w:after="0" w:afterAutospacing="0"/>
        <w:jc w:val="both"/>
        <w:rPr>
          <w:rFonts w:ascii="Arial" w:eastAsia="Times" w:hAnsi="Arial" w:cs="Arial"/>
          <w:sz w:val="22"/>
          <w:szCs w:val="22"/>
          <w:lang w:eastAsia="en-US"/>
        </w:rPr>
      </w:pPr>
    </w:p>
    <w:p w14:paraId="79ABEB4F" w14:textId="3B9869B0" w:rsidR="00443970" w:rsidRPr="00CB6D1F" w:rsidRDefault="00443970" w:rsidP="006A4D57">
      <w:pPr>
        <w:pStyle w:val="NormalWeb"/>
        <w:spacing w:before="0" w:beforeAutospacing="0" w:after="0" w:afterAutospacing="0"/>
        <w:jc w:val="both"/>
        <w:rPr>
          <w:rFonts w:ascii="Arial" w:eastAsia="Times" w:hAnsi="Arial" w:cs="Arial"/>
          <w:sz w:val="22"/>
          <w:szCs w:val="22"/>
          <w:lang w:eastAsia="en-US"/>
        </w:rPr>
      </w:pPr>
      <w:r w:rsidRPr="00CB6D1F">
        <w:rPr>
          <w:rFonts w:ascii="Arial" w:eastAsia="Times" w:hAnsi="Arial" w:cs="Arial"/>
          <w:sz w:val="22"/>
          <w:szCs w:val="22"/>
          <w:lang w:eastAsia="en-US"/>
        </w:rPr>
        <w:lastRenderedPageBreak/>
        <w:t xml:space="preserve">Where part of a windfarm or array may reach the end of its lifetime earlier than others, industry would like to see the approach to decommissioning reflected in the consent conditions of the project or array to ensure planning policy consistency across Scotland. Alternatively, industry would welcome an approach that deals with such scenarios on a case-by-case basis via periodic reviews of the decommissioning programme. </w:t>
      </w:r>
    </w:p>
    <w:p w14:paraId="611B5BB4" w14:textId="77777777" w:rsidR="00B34A72" w:rsidRPr="00CB6D1F" w:rsidRDefault="00B34A72" w:rsidP="006A4D57">
      <w:pPr>
        <w:pStyle w:val="NormalWeb"/>
        <w:spacing w:before="0" w:beforeAutospacing="0" w:after="0" w:afterAutospacing="0"/>
        <w:jc w:val="both"/>
        <w:rPr>
          <w:rFonts w:ascii="Arial" w:eastAsia="Times" w:hAnsi="Arial" w:cs="Arial"/>
          <w:sz w:val="22"/>
          <w:szCs w:val="22"/>
          <w:lang w:eastAsia="en-US"/>
        </w:rPr>
      </w:pPr>
    </w:p>
    <w:p w14:paraId="6C333488" w14:textId="2E23F3C9" w:rsidR="00622435" w:rsidRPr="00CB6D1F" w:rsidRDefault="00622435" w:rsidP="006A4D57">
      <w:pPr>
        <w:pStyle w:val="NormalWeb"/>
        <w:spacing w:before="0" w:beforeAutospacing="0" w:after="0" w:afterAutospacing="0"/>
        <w:jc w:val="both"/>
        <w:rPr>
          <w:rFonts w:ascii="Arial" w:eastAsia="Times" w:hAnsi="Arial" w:cs="Arial"/>
          <w:sz w:val="22"/>
          <w:szCs w:val="22"/>
          <w:lang w:eastAsia="en-US"/>
        </w:rPr>
      </w:pPr>
      <w:r w:rsidRPr="00CB6D1F">
        <w:rPr>
          <w:rFonts w:ascii="Arial" w:eastAsia="Times" w:hAnsi="Arial" w:cs="Arial"/>
          <w:sz w:val="22"/>
          <w:szCs w:val="22"/>
          <w:lang w:eastAsia="en-US"/>
        </w:rPr>
        <w:t>Industry has presented a range of scenarios that would all require a flexible approach from Marine Scotland and CES, and</w:t>
      </w:r>
      <w:r w:rsidR="00EE225D" w:rsidRPr="00CB6D1F">
        <w:rPr>
          <w:rFonts w:ascii="Arial" w:eastAsia="Times" w:hAnsi="Arial" w:cs="Arial"/>
          <w:sz w:val="22"/>
          <w:szCs w:val="22"/>
          <w:lang w:eastAsia="en-US"/>
        </w:rPr>
        <w:t xml:space="preserve"> it</w:t>
      </w:r>
      <w:r w:rsidRPr="00CB6D1F">
        <w:rPr>
          <w:rFonts w:ascii="Arial" w:eastAsia="Times" w:hAnsi="Arial" w:cs="Arial"/>
          <w:sz w:val="22"/>
          <w:szCs w:val="22"/>
          <w:lang w:eastAsia="en-US"/>
        </w:rPr>
        <w:t xml:space="preserve"> feel</w:t>
      </w:r>
      <w:r w:rsidR="00EE225D" w:rsidRPr="00CB6D1F">
        <w:rPr>
          <w:rFonts w:ascii="Arial" w:eastAsia="Times" w:hAnsi="Arial" w:cs="Arial"/>
          <w:sz w:val="22"/>
          <w:szCs w:val="22"/>
          <w:lang w:eastAsia="en-US"/>
        </w:rPr>
        <w:t xml:space="preserve">s </w:t>
      </w:r>
      <w:r w:rsidRPr="00CB6D1F">
        <w:rPr>
          <w:rFonts w:ascii="Arial" w:eastAsia="Times" w:hAnsi="Arial" w:cs="Arial"/>
          <w:sz w:val="22"/>
          <w:szCs w:val="22"/>
          <w:lang w:eastAsia="en-US"/>
        </w:rPr>
        <w:t xml:space="preserve">that further discussion will be needed to understand the constraints </w:t>
      </w:r>
      <w:r w:rsidR="00EE225D" w:rsidRPr="00CB6D1F">
        <w:rPr>
          <w:rFonts w:ascii="Arial" w:eastAsia="Times" w:hAnsi="Arial" w:cs="Arial"/>
          <w:sz w:val="22"/>
          <w:szCs w:val="22"/>
          <w:lang w:eastAsia="en-US"/>
        </w:rPr>
        <w:t>of lease conditions. Examples raised include:</w:t>
      </w:r>
    </w:p>
    <w:p w14:paraId="6920D6F1" w14:textId="54C2239D" w:rsidR="00443970" w:rsidRPr="00CB6D1F" w:rsidRDefault="00EE225D" w:rsidP="006A4D57">
      <w:pPr>
        <w:pStyle w:val="NormalWeb"/>
        <w:numPr>
          <w:ilvl w:val="0"/>
          <w:numId w:val="2"/>
        </w:numPr>
        <w:spacing w:before="0" w:beforeAutospacing="0" w:after="0" w:afterAutospacing="0"/>
        <w:jc w:val="both"/>
        <w:rPr>
          <w:rFonts w:ascii="Arial" w:eastAsia="Times" w:hAnsi="Arial" w:cs="Arial"/>
          <w:sz w:val="22"/>
          <w:szCs w:val="22"/>
          <w:lang w:eastAsia="en-US"/>
        </w:rPr>
      </w:pPr>
      <w:r w:rsidRPr="00CB6D1F">
        <w:rPr>
          <w:rFonts w:ascii="Arial" w:eastAsia="Times" w:hAnsi="Arial" w:cs="Arial"/>
          <w:sz w:val="22"/>
          <w:szCs w:val="22"/>
          <w:lang w:eastAsia="en-US"/>
        </w:rPr>
        <w:t>The impact of removing some turbines on the inter-array electrical setup</w:t>
      </w:r>
    </w:p>
    <w:p w14:paraId="119EBB47" w14:textId="225EA102" w:rsidR="006A4D57" w:rsidRPr="00CB6D1F" w:rsidRDefault="00EE225D" w:rsidP="006A4D57">
      <w:pPr>
        <w:pStyle w:val="NormalWeb"/>
        <w:numPr>
          <w:ilvl w:val="0"/>
          <w:numId w:val="2"/>
        </w:numPr>
        <w:spacing w:before="0" w:beforeAutospacing="0" w:after="0" w:afterAutospacing="0"/>
        <w:jc w:val="both"/>
        <w:rPr>
          <w:rFonts w:ascii="Arial" w:eastAsia="Times" w:hAnsi="Arial" w:cs="Arial"/>
          <w:sz w:val="22"/>
          <w:szCs w:val="22"/>
          <w:lang w:eastAsia="en-US"/>
        </w:rPr>
      </w:pPr>
      <w:r w:rsidRPr="00CB6D1F">
        <w:rPr>
          <w:rFonts w:ascii="Arial" w:eastAsia="Times" w:hAnsi="Arial" w:cs="Arial"/>
          <w:sz w:val="22"/>
          <w:szCs w:val="22"/>
          <w:lang w:eastAsia="en-US"/>
        </w:rPr>
        <w:t>Potential commercial efficiencies of partial decommissioning in combin</w:t>
      </w:r>
      <w:r w:rsidRPr="00CB6D1F">
        <w:rPr>
          <w:rFonts w:ascii="Arial" w:hAnsi="Arial" w:cs="Arial"/>
          <w:sz w:val="22"/>
          <w:szCs w:val="22"/>
        </w:rPr>
        <w:t xml:space="preserve">ation with other vessel work nearby, which would require short approval times. </w:t>
      </w:r>
    </w:p>
    <w:p w14:paraId="1BE77C05" w14:textId="15710434" w:rsidR="00EE225D" w:rsidRPr="00CB6D1F" w:rsidRDefault="00EE225D" w:rsidP="00EE225D">
      <w:pPr>
        <w:pStyle w:val="NormalWeb"/>
        <w:spacing w:before="0" w:beforeAutospacing="0" w:after="0" w:afterAutospacing="0"/>
        <w:jc w:val="both"/>
        <w:rPr>
          <w:rFonts w:ascii="Arial" w:eastAsia="Times" w:hAnsi="Arial" w:cs="Arial"/>
          <w:sz w:val="22"/>
          <w:szCs w:val="22"/>
          <w:lang w:eastAsia="en-US"/>
        </w:rPr>
      </w:pPr>
    </w:p>
    <w:p w14:paraId="2BBB0D0B" w14:textId="77777777" w:rsidR="00EE225D" w:rsidRPr="00CB6D1F" w:rsidRDefault="00EE225D" w:rsidP="00EE225D">
      <w:pPr>
        <w:pStyle w:val="NormalWeb"/>
        <w:spacing w:before="0" w:beforeAutospacing="0" w:after="0" w:afterAutospacing="0"/>
        <w:jc w:val="both"/>
        <w:rPr>
          <w:rFonts w:ascii="Arial" w:eastAsia="Times" w:hAnsi="Arial" w:cs="Arial"/>
          <w:sz w:val="22"/>
          <w:szCs w:val="22"/>
          <w:lang w:eastAsia="en-US"/>
        </w:rPr>
      </w:pPr>
    </w:p>
    <w:p w14:paraId="118358DB" w14:textId="5676A8CC" w:rsidR="006A4D57" w:rsidRPr="00CB6D1F" w:rsidRDefault="006A4D57" w:rsidP="006A4D57">
      <w:pPr>
        <w:pStyle w:val="NormalWeb"/>
        <w:spacing w:before="0" w:beforeAutospacing="0" w:after="0" w:afterAutospacing="0"/>
        <w:jc w:val="both"/>
        <w:rPr>
          <w:rFonts w:ascii="Arial" w:eastAsia="Times" w:hAnsi="Arial" w:cs="Arial"/>
          <w:b/>
          <w:sz w:val="22"/>
          <w:szCs w:val="22"/>
          <w:lang w:eastAsia="en-US"/>
        </w:rPr>
      </w:pPr>
      <w:r w:rsidRPr="00CB6D1F">
        <w:rPr>
          <w:rFonts w:ascii="Arial" w:eastAsia="Times" w:hAnsi="Arial" w:cs="Arial"/>
          <w:b/>
          <w:sz w:val="22"/>
          <w:szCs w:val="22"/>
          <w:lang w:eastAsia="en-US"/>
        </w:rPr>
        <w:t>9. In relation to the Partial Business and Regulatory Impact Assessment, do the proposals in this consultation have any financial, regulatory or resource implications for you and/or your business (if applicable)? Yes/ No If so</w:t>
      </w:r>
      <w:r w:rsidR="009E7111" w:rsidRPr="00CB6D1F">
        <w:rPr>
          <w:rFonts w:ascii="Arial" w:eastAsia="Times" w:hAnsi="Arial" w:cs="Arial"/>
          <w:b/>
          <w:sz w:val="22"/>
          <w:szCs w:val="22"/>
          <w:lang w:eastAsia="en-US"/>
        </w:rPr>
        <w:t>,</w:t>
      </w:r>
      <w:r w:rsidRPr="00CB6D1F">
        <w:rPr>
          <w:rFonts w:ascii="Arial" w:eastAsia="Times" w:hAnsi="Arial" w:cs="Arial"/>
          <w:b/>
          <w:sz w:val="22"/>
          <w:szCs w:val="22"/>
          <w:lang w:eastAsia="en-US"/>
        </w:rPr>
        <w:t xml:space="preserve"> please explain these. </w:t>
      </w:r>
    </w:p>
    <w:p w14:paraId="21368735" w14:textId="43EDC1B6" w:rsidR="00B4495B" w:rsidRPr="00CB6D1F" w:rsidRDefault="00B4495B" w:rsidP="006A4D57">
      <w:pPr>
        <w:pStyle w:val="NormalWeb"/>
        <w:spacing w:before="0" w:beforeAutospacing="0" w:after="0" w:afterAutospacing="0"/>
        <w:jc w:val="both"/>
        <w:rPr>
          <w:rFonts w:ascii="Arial" w:eastAsia="Times" w:hAnsi="Arial" w:cs="Arial"/>
          <w:b/>
          <w:sz w:val="22"/>
          <w:szCs w:val="22"/>
          <w:lang w:eastAsia="en-US"/>
        </w:rPr>
      </w:pPr>
    </w:p>
    <w:p w14:paraId="42FEB1C7" w14:textId="5BF1FFB2" w:rsidR="00B4495B" w:rsidRPr="00CB6D1F" w:rsidRDefault="00F66A58" w:rsidP="006A4D57">
      <w:pPr>
        <w:pStyle w:val="NormalWeb"/>
        <w:spacing w:before="0" w:beforeAutospacing="0" w:after="0" w:afterAutospacing="0"/>
        <w:jc w:val="both"/>
        <w:rPr>
          <w:rFonts w:ascii="Arial" w:eastAsia="Times" w:hAnsi="Arial" w:cs="Arial"/>
          <w:sz w:val="22"/>
          <w:szCs w:val="22"/>
          <w:lang w:eastAsia="en-US"/>
        </w:rPr>
      </w:pPr>
      <w:r w:rsidRPr="00CB6D1F">
        <w:rPr>
          <w:rFonts w:ascii="Arial" w:eastAsia="Times" w:hAnsi="Arial" w:cs="Arial"/>
          <w:sz w:val="22"/>
          <w:szCs w:val="22"/>
          <w:lang w:eastAsia="en-US"/>
        </w:rPr>
        <w:t xml:space="preserve">The accrual of securities poses a significant financial </w:t>
      </w:r>
      <w:r w:rsidR="007B548F" w:rsidRPr="00CB6D1F">
        <w:rPr>
          <w:rFonts w:ascii="Arial" w:eastAsia="Times" w:hAnsi="Arial" w:cs="Arial"/>
          <w:sz w:val="22"/>
          <w:szCs w:val="22"/>
          <w:lang w:eastAsia="en-US"/>
        </w:rPr>
        <w:t>cost to developers and o</w:t>
      </w:r>
      <w:r w:rsidR="00B4495B" w:rsidRPr="00CB6D1F">
        <w:rPr>
          <w:rFonts w:ascii="Arial" w:eastAsia="Times" w:hAnsi="Arial" w:cs="Arial"/>
          <w:sz w:val="22"/>
          <w:szCs w:val="22"/>
          <w:lang w:eastAsia="en-US"/>
        </w:rPr>
        <w:t>btaining approval prior to offshore construction</w:t>
      </w:r>
      <w:r w:rsidR="007B548F" w:rsidRPr="00CB6D1F">
        <w:rPr>
          <w:rFonts w:ascii="Arial" w:eastAsia="Times" w:hAnsi="Arial" w:cs="Arial"/>
          <w:sz w:val="22"/>
          <w:szCs w:val="22"/>
          <w:lang w:eastAsia="en-US"/>
        </w:rPr>
        <w:t xml:space="preserve"> could lead to increased construction and commissioning costs for projects through any delays </w:t>
      </w:r>
      <w:r w:rsidR="00B4495B" w:rsidRPr="00CB6D1F">
        <w:rPr>
          <w:rFonts w:ascii="Arial" w:eastAsia="Times" w:hAnsi="Arial" w:cs="Arial"/>
          <w:sz w:val="22"/>
          <w:szCs w:val="22"/>
          <w:lang w:eastAsia="en-US"/>
        </w:rPr>
        <w:t xml:space="preserve">to the construction programme. That said, industry supports the principle and the positive approach to providing offshore decommissioning guidance for renewable energy projects. </w:t>
      </w:r>
    </w:p>
    <w:p w14:paraId="5A465D47" w14:textId="77777777" w:rsidR="001D6E85" w:rsidRPr="00CB6D1F" w:rsidRDefault="001D6E85" w:rsidP="006A4D57">
      <w:pPr>
        <w:pStyle w:val="NormalWeb"/>
        <w:spacing w:before="0" w:beforeAutospacing="0" w:after="0" w:afterAutospacing="0"/>
        <w:jc w:val="both"/>
        <w:rPr>
          <w:rFonts w:ascii="Arial" w:eastAsia="Times" w:hAnsi="Arial" w:cs="Arial"/>
          <w:color w:val="FF0000"/>
          <w:sz w:val="22"/>
          <w:szCs w:val="22"/>
          <w:lang w:eastAsia="en-US"/>
        </w:rPr>
      </w:pPr>
    </w:p>
    <w:p w14:paraId="0CB9F36A" w14:textId="5231C459" w:rsidR="006A4D57" w:rsidRPr="00CB6D1F" w:rsidRDefault="006A4D57" w:rsidP="006A4D57">
      <w:pPr>
        <w:pStyle w:val="NormalWeb"/>
        <w:spacing w:before="0" w:beforeAutospacing="0" w:after="0" w:afterAutospacing="0"/>
        <w:jc w:val="both"/>
        <w:rPr>
          <w:rFonts w:ascii="Arial" w:hAnsi="Arial" w:cs="Arial"/>
          <w:sz w:val="22"/>
          <w:szCs w:val="22"/>
        </w:rPr>
      </w:pPr>
      <w:r w:rsidRPr="00CB6D1F">
        <w:rPr>
          <w:rFonts w:ascii="Arial" w:hAnsi="Arial" w:cs="Arial"/>
          <w:sz w:val="22"/>
          <w:szCs w:val="22"/>
        </w:rPr>
        <w:t> </w:t>
      </w:r>
    </w:p>
    <w:p w14:paraId="54BBE992" w14:textId="77777777" w:rsidR="006A4D57" w:rsidRPr="00CB6D1F" w:rsidRDefault="006A4D57" w:rsidP="006A4D57">
      <w:pPr>
        <w:pStyle w:val="NormalWeb"/>
        <w:spacing w:before="0" w:beforeAutospacing="0" w:after="0" w:afterAutospacing="0"/>
        <w:jc w:val="both"/>
        <w:rPr>
          <w:rFonts w:ascii="Arial" w:eastAsia="Times" w:hAnsi="Arial" w:cs="Arial"/>
          <w:b/>
          <w:sz w:val="22"/>
          <w:szCs w:val="22"/>
          <w:lang w:eastAsia="en-US"/>
        </w:rPr>
      </w:pPr>
      <w:r w:rsidRPr="00CB6D1F">
        <w:rPr>
          <w:rFonts w:ascii="Arial" w:eastAsia="Times" w:hAnsi="Arial" w:cs="Arial"/>
          <w:b/>
          <w:sz w:val="22"/>
          <w:szCs w:val="22"/>
          <w:lang w:eastAsia="en-US"/>
        </w:rPr>
        <w:t xml:space="preserve">10. Do you have any further comments on the draft guidance? Please explain your view. </w:t>
      </w:r>
    </w:p>
    <w:p w14:paraId="1D3D612F" w14:textId="77777777" w:rsidR="008B6B37" w:rsidRPr="00CB6D1F" w:rsidRDefault="008B6B37" w:rsidP="006A4D57">
      <w:pPr>
        <w:pStyle w:val="NormalWeb"/>
        <w:spacing w:before="0" w:beforeAutospacing="0" w:after="0" w:afterAutospacing="0"/>
        <w:jc w:val="both"/>
        <w:rPr>
          <w:rFonts w:ascii="Arial" w:hAnsi="Arial" w:cs="Arial"/>
          <w:bCs/>
          <w:sz w:val="22"/>
          <w:szCs w:val="22"/>
        </w:rPr>
      </w:pPr>
    </w:p>
    <w:p w14:paraId="562C50C8" w14:textId="2840FD7A" w:rsidR="000226AE" w:rsidRPr="00CB6D1F" w:rsidRDefault="006D4046" w:rsidP="006A4D57">
      <w:pPr>
        <w:pStyle w:val="NormalWeb"/>
        <w:spacing w:before="0" w:beforeAutospacing="0" w:after="0" w:afterAutospacing="0"/>
        <w:jc w:val="both"/>
        <w:rPr>
          <w:rFonts w:ascii="Arial" w:eastAsia="Times" w:hAnsi="Arial" w:cs="Arial"/>
          <w:sz w:val="22"/>
          <w:szCs w:val="22"/>
          <w:lang w:eastAsia="en-US"/>
        </w:rPr>
      </w:pPr>
      <w:r w:rsidRPr="00CB6D1F">
        <w:rPr>
          <w:rFonts w:ascii="Arial" w:eastAsia="Times" w:hAnsi="Arial" w:cs="Arial"/>
          <w:b/>
          <w:bCs/>
          <w:sz w:val="22"/>
          <w:szCs w:val="22"/>
          <w:lang w:eastAsia="en-US"/>
        </w:rPr>
        <w:t xml:space="preserve">Commercially sensitive information: </w:t>
      </w:r>
      <w:r w:rsidRPr="00CB6D1F">
        <w:rPr>
          <w:rFonts w:ascii="Arial" w:eastAsia="Times" w:hAnsi="Arial" w:cs="Arial"/>
          <w:sz w:val="22"/>
          <w:szCs w:val="22"/>
          <w:lang w:eastAsia="en-US"/>
        </w:rPr>
        <w:t xml:space="preserve">Industry understands that decommissioning plans are likely to be made public. Industry would welcome clarity on how commercially sensitive information (e.g. business plans, cash forecasts) will be treated given the commercial risk of sharing confidential information. </w:t>
      </w:r>
    </w:p>
    <w:p w14:paraId="6048ED1D" w14:textId="68BD496D" w:rsidR="00083515" w:rsidRPr="00CB6D1F" w:rsidRDefault="00083515" w:rsidP="006A4D57">
      <w:pPr>
        <w:pStyle w:val="NormalWeb"/>
        <w:spacing w:before="0" w:beforeAutospacing="0" w:after="0" w:afterAutospacing="0"/>
        <w:jc w:val="both"/>
        <w:rPr>
          <w:rFonts w:ascii="Arial" w:eastAsia="Times" w:hAnsi="Arial" w:cs="Arial"/>
          <w:sz w:val="22"/>
          <w:szCs w:val="22"/>
          <w:lang w:eastAsia="en-US"/>
        </w:rPr>
      </w:pPr>
    </w:p>
    <w:p w14:paraId="40B6B6E9" w14:textId="65997B32" w:rsidR="00083515" w:rsidRPr="00CB6D1F" w:rsidRDefault="00083515" w:rsidP="006A4D57">
      <w:pPr>
        <w:pStyle w:val="NormalWeb"/>
        <w:spacing w:before="0" w:beforeAutospacing="0" w:after="0" w:afterAutospacing="0"/>
        <w:jc w:val="both"/>
        <w:rPr>
          <w:rFonts w:ascii="Arial" w:eastAsia="Times" w:hAnsi="Arial" w:cs="Arial"/>
          <w:sz w:val="22"/>
          <w:szCs w:val="22"/>
          <w:lang w:eastAsia="en-US"/>
        </w:rPr>
      </w:pPr>
      <w:r w:rsidRPr="00CB6D1F">
        <w:rPr>
          <w:rFonts w:ascii="Arial" w:eastAsia="Times" w:hAnsi="Arial" w:cs="Arial"/>
          <w:b/>
          <w:bCs/>
          <w:sz w:val="22"/>
          <w:szCs w:val="22"/>
          <w:lang w:eastAsia="en-US"/>
        </w:rPr>
        <w:t xml:space="preserve">Review period: </w:t>
      </w:r>
      <w:r w:rsidRPr="00CB6D1F">
        <w:rPr>
          <w:rFonts w:ascii="Arial" w:eastAsia="Times" w:hAnsi="Arial" w:cs="Arial"/>
          <w:sz w:val="22"/>
          <w:szCs w:val="22"/>
          <w:lang w:eastAsia="en-US"/>
        </w:rPr>
        <w:t>Industry would welcome clarity on whether Marine Scotland intends to review the guidance</w:t>
      </w:r>
      <w:r w:rsidR="00BE53E8" w:rsidRPr="00CB6D1F">
        <w:rPr>
          <w:rFonts w:ascii="Arial" w:eastAsia="Times" w:hAnsi="Arial" w:cs="Arial"/>
          <w:sz w:val="22"/>
          <w:szCs w:val="22"/>
          <w:lang w:eastAsia="en-US"/>
        </w:rPr>
        <w:t xml:space="preserve"> and if so, what the likely review period will be and the expected impact of any changes on implementation. For instance, if the decommissioning programme is changed, is it subject to re-approval and what would be the requirements here? If the conditions are always changing, does a developer ever have an approved plan?</w:t>
      </w:r>
    </w:p>
    <w:p w14:paraId="4C18171D" w14:textId="533B873B" w:rsidR="00AA3ED2" w:rsidRPr="00CB6D1F" w:rsidRDefault="00AA3ED2" w:rsidP="006A4D57">
      <w:pPr>
        <w:pStyle w:val="NormalWeb"/>
        <w:spacing w:before="0" w:beforeAutospacing="0" w:after="0" w:afterAutospacing="0"/>
        <w:jc w:val="both"/>
        <w:rPr>
          <w:rFonts w:ascii="Arial" w:eastAsia="Times" w:hAnsi="Arial" w:cs="Arial"/>
          <w:sz w:val="22"/>
          <w:szCs w:val="22"/>
          <w:lang w:eastAsia="en-US"/>
        </w:rPr>
      </w:pPr>
    </w:p>
    <w:p w14:paraId="2DBFB827" w14:textId="27E8E8CA" w:rsidR="00AA3ED2" w:rsidRPr="00CB6D1F" w:rsidRDefault="00AA3ED2" w:rsidP="006A4D57">
      <w:pPr>
        <w:pStyle w:val="NormalWeb"/>
        <w:spacing w:before="0" w:beforeAutospacing="0" w:after="0" w:afterAutospacing="0"/>
        <w:jc w:val="both"/>
        <w:rPr>
          <w:rFonts w:ascii="Arial" w:eastAsia="Times" w:hAnsi="Arial" w:cs="Arial"/>
          <w:sz w:val="22"/>
          <w:szCs w:val="22"/>
          <w:lang w:eastAsia="en-US"/>
        </w:rPr>
      </w:pPr>
      <w:r w:rsidRPr="00CB6D1F">
        <w:rPr>
          <w:rFonts w:ascii="Arial" w:eastAsia="Times" w:hAnsi="Arial" w:cs="Arial"/>
          <w:b/>
          <w:bCs/>
          <w:sz w:val="22"/>
          <w:szCs w:val="22"/>
          <w:lang w:eastAsia="en-US"/>
        </w:rPr>
        <w:t xml:space="preserve">Definition of ‘partial decommissioning’: </w:t>
      </w:r>
      <w:r w:rsidRPr="00CB6D1F">
        <w:rPr>
          <w:rFonts w:ascii="Arial" w:eastAsia="Times" w:hAnsi="Arial" w:cs="Arial"/>
          <w:sz w:val="22"/>
          <w:szCs w:val="22"/>
          <w:lang w:eastAsia="en-US"/>
        </w:rPr>
        <w:t>Industry would welcome further clarity on this definition as it is unclear within the guidance – is this something which is flexible?</w:t>
      </w:r>
    </w:p>
    <w:p w14:paraId="2D3759F6" w14:textId="3F82FE45" w:rsidR="00CD02EC" w:rsidRPr="00CB6D1F" w:rsidRDefault="00CD02EC" w:rsidP="006A4D57">
      <w:pPr>
        <w:pStyle w:val="NormalWeb"/>
        <w:spacing w:before="0" w:beforeAutospacing="0" w:after="0" w:afterAutospacing="0"/>
        <w:jc w:val="both"/>
        <w:rPr>
          <w:rFonts w:ascii="Arial" w:eastAsia="Times" w:hAnsi="Arial" w:cs="Arial"/>
          <w:sz w:val="22"/>
          <w:szCs w:val="22"/>
          <w:lang w:eastAsia="en-US"/>
        </w:rPr>
      </w:pPr>
    </w:p>
    <w:p w14:paraId="1F6176FC" w14:textId="0FA52A31" w:rsidR="00CD02EC" w:rsidRPr="00CB6D1F" w:rsidRDefault="00CD02EC" w:rsidP="006A4D57">
      <w:pPr>
        <w:pStyle w:val="NormalWeb"/>
        <w:spacing w:before="0" w:beforeAutospacing="0" w:after="0" w:afterAutospacing="0"/>
        <w:jc w:val="both"/>
        <w:rPr>
          <w:rFonts w:ascii="Arial" w:eastAsia="Times" w:hAnsi="Arial" w:cs="Arial"/>
          <w:sz w:val="22"/>
          <w:szCs w:val="22"/>
          <w:lang w:eastAsia="en-US"/>
        </w:rPr>
      </w:pPr>
      <w:r w:rsidRPr="00CB6D1F">
        <w:rPr>
          <w:rFonts w:ascii="Arial" w:eastAsia="Times" w:hAnsi="Arial" w:cs="Arial"/>
          <w:b/>
          <w:bCs/>
          <w:sz w:val="22"/>
          <w:szCs w:val="22"/>
          <w:lang w:eastAsia="en-US"/>
        </w:rPr>
        <w:t xml:space="preserve">Territorial seas limit: </w:t>
      </w:r>
      <w:r w:rsidRPr="00CB6D1F">
        <w:rPr>
          <w:rFonts w:ascii="Arial" w:eastAsia="Times" w:hAnsi="Arial" w:cs="Arial"/>
          <w:sz w:val="22"/>
          <w:szCs w:val="22"/>
          <w:lang w:eastAsia="en-US"/>
        </w:rPr>
        <w:t>Industry understands that as this guidance relates to the Marine Scotland Act, it will apply to infrastructure located within territorial waters. Industry would welcome clarity on which regime will apply to applications beyond the territorial seas limit – for instance, will these installations revert to the Marine Management Organisation’s regime/ guidance rather than Marine Scotland’s?</w:t>
      </w:r>
    </w:p>
    <w:p w14:paraId="4E504E7A" w14:textId="79DF6C64" w:rsidR="00777180" w:rsidRPr="00CB6D1F" w:rsidRDefault="00777180" w:rsidP="006A4D57">
      <w:pPr>
        <w:pStyle w:val="NormalWeb"/>
        <w:spacing w:before="0" w:beforeAutospacing="0" w:after="0" w:afterAutospacing="0"/>
        <w:jc w:val="both"/>
        <w:rPr>
          <w:rFonts w:ascii="Arial" w:eastAsia="Times" w:hAnsi="Arial" w:cs="Arial"/>
          <w:sz w:val="22"/>
          <w:szCs w:val="22"/>
          <w:lang w:eastAsia="en-US"/>
        </w:rPr>
      </w:pPr>
    </w:p>
    <w:p w14:paraId="0B4E42E0" w14:textId="5BC43342" w:rsidR="00777180" w:rsidRPr="00CB6D1F" w:rsidRDefault="00777180" w:rsidP="006A4D57">
      <w:pPr>
        <w:pStyle w:val="NormalWeb"/>
        <w:spacing w:before="0" w:beforeAutospacing="0" w:after="0" w:afterAutospacing="0"/>
        <w:jc w:val="both"/>
        <w:rPr>
          <w:rFonts w:ascii="Arial" w:eastAsia="Times" w:hAnsi="Arial" w:cs="Arial"/>
          <w:sz w:val="22"/>
          <w:szCs w:val="22"/>
          <w:lang w:eastAsia="en-US"/>
        </w:rPr>
      </w:pPr>
      <w:r w:rsidRPr="00CB6D1F">
        <w:rPr>
          <w:rFonts w:ascii="Arial" w:eastAsia="Times" w:hAnsi="Arial" w:cs="Arial"/>
          <w:b/>
          <w:bCs/>
          <w:sz w:val="22"/>
          <w:szCs w:val="22"/>
          <w:lang w:eastAsia="en-US"/>
        </w:rPr>
        <w:t xml:space="preserve">Full removal of infrastructure: </w:t>
      </w:r>
      <w:r w:rsidRPr="00CB6D1F">
        <w:rPr>
          <w:rFonts w:ascii="Arial" w:eastAsia="Times" w:hAnsi="Arial" w:cs="Arial"/>
          <w:sz w:val="22"/>
          <w:szCs w:val="22"/>
          <w:lang w:eastAsia="en-US"/>
        </w:rPr>
        <w:t xml:space="preserve">As with the equivalent oil and gas decommissioning practice, Section 7 on environmental and safety considerations sets out a clear presumption towards full removal of infrastructure </w:t>
      </w:r>
      <w:r w:rsidR="00E417E1" w:rsidRPr="00CB6D1F">
        <w:rPr>
          <w:rFonts w:ascii="Arial" w:eastAsia="Times" w:hAnsi="Arial" w:cs="Arial"/>
          <w:sz w:val="22"/>
          <w:szCs w:val="22"/>
          <w:lang w:eastAsia="en-US"/>
        </w:rPr>
        <w:t>from the marine environment on decommissioning (acknowledging that the IMO sets out circumstances in which potential exemptions may apply), however:</w:t>
      </w:r>
    </w:p>
    <w:p w14:paraId="10EF5454" w14:textId="77777777" w:rsidR="00E417E1" w:rsidRPr="00CB6D1F" w:rsidRDefault="00E417E1" w:rsidP="006A4D57">
      <w:pPr>
        <w:pStyle w:val="NormalWeb"/>
        <w:spacing w:before="0" w:beforeAutospacing="0" w:after="0" w:afterAutospacing="0"/>
        <w:jc w:val="both"/>
        <w:rPr>
          <w:rFonts w:ascii="Arial" w:eastAsia="Times" w:hAnsi="Arial" w:cs="Arial"/>
          <w:sz w:val="22"/>
          <w:szCs w:val="22"/>
          <w:lang w:eastAsia="en-US"/>
        </w:rPr>
      </w:pPr>
    </w:p>
    <w:p w14:paraId="52EE5F85" w14:textId="126F5BC9" w:rsidR="00E417E1" w:rsidRPr="00CB6D1F" w:rsidRDefault="00E417E1" w:rsidP="00E417E1">
      <w:pPr>
        <w:pStyle w:val="NormalWeb"/>
        <w:numPr>
          <w:ilvl w:val="0"/>
          <w:numId w:val="2"/>
        </w:numPr>
        <w:spacing w:before="0" w:beforeAutospacing="0" w:after="0" w:afterAutospacing="0"/>
        <w:ind w:left="284" w:hanging="284"/>
        <w:jc w:val="both"/>
        <w:rPr>
          <w:rFonts w:ascii="Arial" w:eastAsia="Times" w:hAnsi="Arial" w:cs="Arial"/>
          <w:sz w:val="22"/>
          <w:szCs w:val="22"/>
          <w:lang w:eastAsia="en-US"/>
        </w:rPr>
      </w:pPr>
      <w:r w:rsidRPr="00CB6D1F">
        <w:rPr>
          <w:rFonts w:ascii="Arial" w:eastAsia="Times" w:hAnsi="Arial" w:cs="Arial"/>
          <w:sz w:val="22"/>
          <w:szCs w:val="22"/>
          <w:lang w:eastAsia="en-US"/>
        </w:rPr>
        <w:t>It may be beneficial for this guidance to expand on the range of exceptions that may be considered (in addition to a developer/ owner referring to the oil and gas comparative assessment methodology for considering and demonstrating the case for decommissioning) and under what circumstance a comparative assessment may be appropriate – this type of expanded guidance is given in the oil and gas guidance equivalent with reference to OSPAR (particularly decision 98/3 which wouldn’t apply here) and the Petroleum Act for pipelines etc.</w:t>
      </w:r>
    </w:p>
    <w:p w14:paraId="5520F101" w14:textId="77777777" w:rsidR="00EA0B09" w:rsidRPr="00CB6D1F" w:rsidRDefault="00EA0B09" w:rsidP="00EA0B09">
      <w:pPr>
        <w:pStyle w:val="NormalWeb"/>
        <w:spacing w:before="0" w:beforeAutospacing="0" w:after="0" w:afterAutospacing="0"/>
        <w:ind w:left="284"/>
        <w:jc w:val="both"/>
        <w:rPr>
          <w:rFonts w:ascii="Arial" w:eastAsia="Times" w:hAnsi="Arial" w:cs="Arial"/>
          <w:sz w:val="22"/>
          <w:szCs w:val="22"/>
          <w:lang w:eastAsia="en-US"/>
        </w:rPr>
      </w:pPr>
    </w:p>
    <w:p w14:paraId="16915561" w14:textId="3651DA9A" w:rsidR="00601B25" w:rsidRPr="00CB6D1F" w:rsidRDefault="00601B25" w:rsidP="00E417E1">
      <w:pPr>
        <w:pStyle w:val="NormalWeb"/>
        <w:numPr>
          <w:ilvl w:val="0"/>
          <w:numId w:val="2"/>
        </w:numPr>
        <w:spacing w:before="0" w:beforeAutospacing="0" w:after="0" w:afterAutospacing="0"/>
        <w:ind w:left="284" w:hanging="284"/>
        <w:jc w:val="both"/>
        <w:rPr>
          <w:rFonts w:ascii="Arial" w:eastAsia="Times" w:hAnsi="Arial" w:cs="Arial"/>
          <w:sz w:val="22"/>
          <w:szCs w:val="22"/>
          <w:lang w:eastAsia="en-US"/>
        </w:rPr>
      </w:pPr>
      <w:r w:rsidRPr="00CB6D1F">
        <w:rPr>
          <w:rFonts w:ascii="Arial" w:eastAsia="Times" w:hAnsi="Arial" w:cs="Arial"/>
          <w:sz w:val="22"/>
          <w:szCs w:val="22"/>
          <w:lang w:eastAsia="en-US"/>
        </w:rPr>
        <w:t xml:space="preserve">In the interest of ensuring consistency across offshore renewables’ decommissioning plans, industry would like to understand whether Marine Scotland intends to publish its own version of the oil and gas comparative assessment – better tailored to </w:t>
      </w:r>
      <w:r w:rsidR="00EA0B09" w:rsidRPr="00CB6D1F">
        <w:rPr>
          <w:rFonts w:ascii="Arial" w:eastAsia="Times" w:hAnsi="Arial" w:cs="Arial"/>
          <w:sz w:val="22"/>
          <w:szCs w:val="22"/>
          <w:lang w:eastAsia="en-US"/>
        </w:rPr>
        <w:t xml:space="preserve">offshore renewables’ industry specific factors. The oil and gas methodology </w:t>
      </w:r>
      <w:proofErr w:type="gramStart"/>
      <w:r w:rsidR="00EA0B09" w:rsidRPr="00CB6D1F">
        <w:rPr>
          <w:rFonts w:ascii="Arial" w:eastAsia="Times" w:hAnsi="Arial" w:cs="Arial"/>
          <w:sz w:val="22"/>
          <w:szCs w:val="22"/>
          <w:lang w:eastAsia="en-US"/>
        </w:rPr>
        <w:t>is</w:t>
      </w:r>
      <w:proofErr w:type="gramEnd"/>
      <w:r w:rsidR="00EA0B09" w:rsidRPr="00CB6D1F">
        <w:rPr>
          <w:rFonts w:ascii="Arial" w:eastAsia="Times" w:hAnsi="Arial" w:cs="Arial"/>
          <w:sz w:val="22"/>
          <w:szCs w:val="22"/>
          <w:lang w:eastAsia="en-US"/>
        </w:rPr>
        <w:t xml:space="preserve"> scalable, sets out a range of evaluation method options (ranging from purely qualitative discussion through to quantitative assessment of parameters) and has been successfully applied across a range of oil and gas projects. However, it is likely that the criteria and sub-criteria for evaluation set out within the oil and gas guidelines may not be entirely appropriate for offshore renewables. </w:t>
      </w:r>
    </w:p>
    <w:p w14:paraId="06CA31A0" w14:textId="77777777" w:rsidR="005A49A9" w:rsidRPr="00CB6D1F" w:rsidRDefault="005A49A9" w:rsidP="00C17C11">
      <w:pPr>
        <w:rPr>
          <w:rFonts w:ascii="Arial" w:hAnsi="Arial" w:cs="Arial"/>
          <w:sz w:val="22"/>
          <w:szCs w:val="22"/>
        </w:rPr>
      </w:pPr>
    </w:p>
    <w:p w14:paraId="236941B5" w14:textId="49CEA0A8" w:rsidR="00F15D1C" w:rsidRPr="00CB6D1F" w:rsidRDefault="005A49A9" w:rsidP="00F15D1C">
      <w:pPr>
        <w:pStyle w:val="NormalWeb"/>
        <w:numPr>
          <w:ilvl w:val="0"/>
          <w:numId w:val="2"/>
        </w:numPr>
        <w:spacing w:before="0" w:beforeAutospacing="0" w:after="0" w:afterAutospacing="0"/>
        <w:ind w:left="284" w:hanging="284"/>
        <w:jc w:val="both"/>
        <w:rPr>
          <w:rFonts w:ascii="Arial" w:eastAsia="Times" w:hAnsi="Arial" w:cs="Arial"/>
          <w:sz w:val="22"/>
          <w:szCs w:val="22"/>
          <w:lang w:eastAsia="en-US"/>
        </w:rPr>
      </w:pPr>
      <w:r w:rsidRPr="00CB6D1F">
        <w:rPr>
          <w:rFonts w:ascii="Arial" w:eastAsia="Times" w:hAnsi="Arial" w:cs="Arial"/>
          <w:sz w:val="22"/>
          <w:szCs w:val="22"/>
          <w:lang w:eastAsia="en-US"/>
        </w:rPr>
        <w:t xml:space="preserve">Industry would welcome explanation on how the presumption towards removal can be reconciled against the more likely approach within the offshore renewables sector of repowering/ upgrading of facilities – where old is removed, but then replaced with new and improved technology. </w:t>
      </w:r>
      <w:r w:rsidR="00F15D1C" w:rsidRPr="00CB6D1F">
        <w:rPr>
          <w:rFonts w:ascii="Arial" w:eastAsia="Times" w:hAnsi="Arial" w:cs="Arial"/>
          <w:sz w:val="22"/>
          <w:szCs w:val="22"/>
          <w:lang w:eastAsia="en-US"/>
        </w:rPr>
        <w:t xml:space="preserve">Removal makes sense for a sector such as oil and gas where a non-renewable resource is being exploited, however, for renewables, consideration should be given to repowering as an alternative – particularly as it is unlikely that the need for the power generated will disappear at the point of decommissioning. Rather than the developments being removed at the end of engineering life, an approach of staged repowering throughout their lifetime is anticipated, with a portion of the technology being upgraded and replaced throughout the life of the project, with the project lifetime being extended as required. </w:t>
      </w:r>
    </w:p>
    <w:p w14:paraId="4DBE950F" w14:textId="77777777" w:rsidR="00F15D1C" w:rsidRPr="00CB6D1F" w:rsidRDefault="00F15D1C" w:rsidP="00F15D1C">
      <w:pPr>
        <w:pStyle w:val="NormalWeb"/>
        <w:spacing w:before="0" w:beforeAutospacing="0" w:after="0" w:afterAutospacing="0"/>
        <w:ind w:left="284"/>
        <w:jc w:val="both"/>
        <w:rPr>
          <w:rFonts w:ascii="Arial" w:eastAsia="Times" w:hAnsi="Arial" w:cs="Arial"/>
          <w:sz w:val="22"/>
          <w:szCs w:val="22"/>
          <w:lang w:eastAsia="en-US"/>
        </w:rPr>
      </w:pPr>
    </w:p>
    <w:p w14:paraId="6C1A4FF7" w14:textId="09B454AA" w:rsidR="00F15D1C" w:rsidRPr="00CB6D1F" w:rsidRDefault="00F15D1C" w:rsidP="00E417E1">
      <w:pPr>
        <w:pStyle w:val="NormalWeb"/>
        <w:numPr>
          <w:ilvl w:val="0"/>
          <w:numId w:val="2"/>
        </w:numPr>
        <w:spacing w:before="0" w:beforeAutospacing="0" w:after="0" w:afterAutospacing="0"/>
        <w:ind w:left="284" w:hanging="284"/>
        <w:jc w:val="both"/>
        <w:rPr>
          <w:rFonts w:ascii="Arial" w:eastAsia="Times" w:hAnsi="Arial" w:cs="Arial"/>
          <w:sz w:val="22"/>
          <w:szCs w:val="22"/>
          <w:lang w:eastAsia="en-US"/>
        </w:rPr>
      </w:pPr>
      <w:r w:rsidRPr="00CB6D1F">
        <w:rPr>
          <w:rFonts w:ascii="Arial" w:eastAsia="Times" w:hAnsi="Arial" w:cs="Arial"/>
          <w:sz w:val="22"/>
          <w:szCs w:val="22"/>
          <w:lang w:eastAsia="en-US"/>
        </w:rPr>
        <w:t xml:space="preserve">Industry notes that the presumption towards full removal of infrastructure perpetuates the current regulatory position which doesn’t necessarily acknowledge the growing body of environmental science evidencing that full removal may not necessarily be the best environmental outcome. </w:t>
      </w:r>
    </w:p>
    <w:p w14:paraId="06B1E1A8" w14:textId="77777777" w:rsidR="00E417E1" w:rsidRPr="00CB6D1F" w:rsidRDefault="00E417E1" w:rsidP="006A4D57">
      <w:pPr>
        <w:pStyle w:val="NormalWeb"/>
        <w:spacing w:before="0" w:beforeAutospacing="0" w:after="0" w:afterAutospacing="0"/>
        <w:jc w:val="both"/>
        <w:rPr>
          <w:rFonts w:ascii="Arial" w:eastAsia="Times" w:hAnsi="Arial" w:cs="Arial"/>
          <w:sz w:val="22"/>
          <w:szCs w:val="22"/>
          <w:lang w:eastAsia="en-US"/>
        </w:rPr>
      </w:pPr>
    </w:p>
    <w:p w14:paraId="546FFF70" w14:textId="1FDAF701" w:rsidR="000C06B7" w:rsidRPr="00CB6D1F" w:rsidRDefault="000C06B7" w:rsidP="003F0147">
      <w:pPr>
        <w:pStyle w:val="RUK-Date"/>
        <w:spacing w:after="120"/>
        <w:rPr>
          <w:sz w:val="22"/>
          <w:szCs w:val="22"/>
        </w:rPr>
      </w:pPr>
      <w:r w:rsidRPr="00CB6D1F">
        <w:rPr>
          <w:b/>
          <w:bCs/>
          <w:sz w:val="22"/>
          <w:szCs w:val="22"/>
        </w:rPr>
        <w:t xml:space="preserve">Post-decommissioning: </w:t>
      </w:r>
      <w:r w:rsidRPr="00CB6D1F">
        <w:rPr>
          <w:sz w:val="22"/>
          <w:szCs w:val="22"/>
        </w:rPr>
        <w:t xml:space="preserve">Industry would welcome </w:t>
      </w:r>
      <w:r w:rsidR="00624493" w:rsidRPr="00CB6D1F">
        <w:rPr>
          <w:sz w:val="22"/>
          <w:szCs w:val="22"/>
        </w:rPr>
        <w:t>further detail</w:t>
      </w:r>
      <w:r w:rsidRPr="00CB6D1F">
        <w:rPr>
          <w:sz w:val="22"/>
          <w:szCs w:val="22"/>
        </w:rPr>
        <w:t xml:space="preserve"> on the </w:t>
      </w:r>
      <w:r w:rsidR="00DE35A3" w:rsidRPr="00CB6D1F">
        <w:rPr>
          <w:sz w:val="22"/>
          <w:szCs w:val="22"/>
        </w:rPr>
        <w:t xml:space="preserve">requirement around </w:t>
      </w:r>
      <w:r w:rsidRPr="00CB6D1F">
        <w:rPr>
          <w:sz w:val="22"/>
          <w:szCs w:val="22"/>
        </w:rPr>
        <w:t>third-party evidence</w:t>
      </w:r>
      <w:r w:rsidR="00DE35A3" w:rsidRPr="00CB6D1F">
        <w:rPr>
          <w:sz w:val="22"/>
          <w:szCs w:val="22"/>
        </w:rPr>
        <w:t>,</w:t>
      </w:r>
      <w:r w:rsidRPr="00CB6D1F">
        <w:rPr>
          <w:sz w:val="22"/>
          <w:szCs w:val="22"/>
        </w:rPr>
        <w:t xml:space="preserve"> described in 7.12</w:t>
      </w:r>
      <w:r w:rsidR="00624493" w:rsidRPr="00CB6D1F">
        <w:rPr>
          <w:sz w:val="22"/>
          <w:szCs w:val="22"/>
        </w:rPr>
        <w:t xml:space="preserve">, as this is not required under the BEIS guidelines. </w:t>
      </w:r>
    </w:p>
    <w:p w14:paraId="028D8EA0" w14:textId="1B3372FD" w:rsidR="00624493" w:rsidRPr="00CB6D1F" w:rsidRDefault="00624493" w:rsidP="003F0147">
      <w:pPr>
        <w:pStyle w:val="RUK-Date"/>
        <w:spacing w:after="120"/>
        <w:rPr>
          <w:sz w:val="22"/>
          <w:szCs w:val="22"/>
        </w:rPr>
      </w:pPr>
    </w:p>
    <w:p w14:paraId="1FCF09C9" w14:textId="4B3392D7" w:rsidR="00DC5C74" w:rsidRPr="00CB6D1F" w:rsidRDefault="00DC5C74" w:rsidP="003F0147">
      <w:pPr>
        <w:pStyle w:val="RUK-Date"/>
        <w:spacing w:after="120"/>
        <w:rPr>
          <w:sz w:val="22"/>
          <w:szCs w:val="22"/>
        </w:rPr>
      </w:pPr>
      <w:r w:rsidRPr="00CB6D1F">
        <w:rPr>
          <w:b/>
          <w:bCs/>
          <w:sz w:val="22"/>
          <w:szCs w:val="22"/>
        </w:rPr>
        <w:t xml:space="preserve">Best practice: </w:t>
      </w:r>
      <w:r w:rsidRPr="00CB6D1F">
        <w:rPr>
          <w:sz w:val="22"/>
          <w:szCs w:val="22"/>
        </w:rPr>
        <w:t xml:space="preserve">Industry would welcome a section on how lessons </w:t>
      </w:r>
      <w:r w:rsidR="00B34A72" w:rsidRPr="00CB6D1F">
        <w:rPr>
          <w:sz w:val="22"/>
          <w:szCs w:val="22"/>
        </w:rPr>
        <w:t>learnt,</w:t>
      </w:r>
      <w:r w:rsidRPr="00CB6D1F">
        <w:rPr>
          <w:sz w:val="22"/>
          <w:szCs w:val="22"/>
        </w:rPr>
        <w:t xml:space="preserve"> and best practice can be captured and shared across the industry, and any ways that Marine Scotland could facilitate this within review processes for both decommissioning plans and the guidelines themselves. </w:t>
      </w:r>
    </w:p>
    <w:p w14:paraId="2A66F407" w14:textId="359EEE0B" w:rsidR="000C06B7" w:rsidRDefault="000C06B7" w:rsidP="000C06B7">
      <w:pPr>
        <w:pStyle w:val="RUK-Date"/>
        <w:spacing w:after="120"/>
        <w:rPr>
          <w:b/>
          <w:bCs/>
          <w:sz w:val="22"/>
          <w:szCs w:val="22"/>
        </w:rPr>
      </w:pPr>
    </w:p>
    <w:p w14:paraId="2D1EFBE8" w14:textId="77777777" w:rsidR="00CB6D1F" w:rsidRPr="00CB6D1F" w:rsidRDefault="00CB6D1F" w:rsidP="000C06B7">
      <w:pPr>
        <w:pStyle w:val="RUK-Date"/>
        <w:spacing w:after="120"/>
        <w:rPr>
          <w:b/>
          <w:bCs/>
          <w:sz w:val="22"/>
          <w:szCs w:val="22"/>
        </w:rPr>
      </w:pPr>
      <w:bookmarkStart w:id="0" w:name="_GoBack"/>
      <w:bookmarkEnd w:id="0"/>
    </w:p>
    <w:p w14:paraId="4A0C0DE0" w14:textId="6C48370B" w:rsidR="00332431" w:rsidRPr="00CB6D1F" w:rsidRDefault="00332431" w:rsidP="003F0147">
      <w:pPr>
        <w:pStyle w:val="RUK-Date"/>
        <w:spacing w:after="120"/>
        <w:rPr>
          <w:sz w:val="22"/>
          <w:szCs w:val="22"/>
        </w:rPr>
      </w:pPr>
      <w:r w:rsidRPr="00CB6D1F">
        <w:rPr>
          <w:sz w:val="22"/>
          <w:szCs w:val="22"/>
        </w:rPr>
        <w:t>For further information, please contact:</w:t>
      </w:r>
    </w:p>
    <w:p w14:paraId="42345FAD" w14:textId="505C30BA" w:rsidR="0014248A" w:rsidRPr="00CB6D1F" w:rsidRDefault="004D7F61" w:rsidP="008C7A79">
      <w:pPr>
        <w:pStyle w:val="RUK-Date"/>
        <w:rPr>
          <w:b/>
          <w:bCs/>
          <w:sz w:val="22"/>
          <w:szCs w:val="22"/>
        </w:rPr>
      </w:pPr>
      <w:r w:rsidRPr="00CB6D1F">
        <w:rPr>
          <w:b/>
          <w:bCs/>
          <w:sz w:val="22"/>
          <w:szCs w:val="22"/>
        </w:rPr>
        <w:t>Ben Miller</w:t>
      </w:r>
    </w:p>
    <w:p w14:paraId="3D747F9E" w14:textId="1BF99C53" w:rsidR="0014248A" w:rsidRPr="00CB6D1F" w:rsidRDefault="000226AE" w:rsidP="008C7A79">
      <w:pPr>
        <w:pStyle w:val="RUK-Date"/>
        <w:rPr>
          <w:sz w:val="22"/>
          <w:szCs w:val="22"/>
        </w:rPr>
      </w:pPr>
      <w:r w:rsidRPr="00CB6D1F">
        <w:rPr>
          <w:sz w:val="22"/>
          <w:szCs w:val="22"/>
        </w:rPr>
        <w:t xml:space="preserve">Senior </w:t>
      </w:r>
      <w:r w:rsidR="00BF1B1C" w:rsidRPr="00CB6D1F">
        <w:rPr>
          <w:sz w:val="22"/>
          <w:szCs w:val="22"/>
        </w:rPr>
        <w:t>Policy Manager</w:t>
      </w:r>
    </w:p>
    <w:p w14:paraId="54122C31" w14:textId="7514D6F0" w:rsidR="00BF1B1C" w:rsidRPr="00CB6D1F" w:rsidRDefault="00BF1B1C" w:rsidP="008C7A79">
      <w:pPr>
        <w:pStyle w:val="RUK-Date"/>
        <w:rPr>
          <w:sz w:val="22"/>
          <w:szCs w:val="22"/>
        </w:rPr>
      </w:pPr>
      <w:r w:rsidRPr="00CB6D1F">
        <w:rPr>
          <w:sz w:val="22"/>
          <w:szCs w:val="22"/>
        </w:rPr>
        <w:t xml:space="preserve">Scottish Renewables | </w:t>
      </w:r>
      <w:r w:rsidR="006D0ECF" w:rsidRPr="00CB6D1F">
        <w:rPr>
          <w:sz w:val="22"/>
          <w:szCs w:val="22"/>
        </w:rPr>
        <w:t>Tara House, Bath Street, Glasgow, G2 1HG</w:t>
      </w:r>
    </w:p>
    <w:p w14:paraId="05DAFED7" w14:textId="73DB3743" w:rsidR="008C7A79" w:rsidRPr="00CB6D1F" w:rsidRDefault="008C7A79" w:rsidP="008C7A79">
      <w:pPr>
        <w:pStyle w:val="RUK-Date"/>
        <w:rPr>
          <w:rStyle w:val="Hyperlink"/>
          <w:color w:val="0563C1"/>
          <w:sz w:val="22"/>
          <w:szCs w:val="22"/>
        </w:rPr>
      </w:pPr>
      <w:r w:rsidRPr="00CB6D1F">
        <w:rPr>
          <w:sz w:val="22"/>
          <w:szCs w:val="22"/>
        </w:rPr>
        <w:t>+44 (0)141 353 4</w:t>
      </w:r>
      <w:r w:rsidR="000226AE" w:rsidRPr="00CB6D1F">
        <w:rPr>
          <w:sz w:val="22"/>
          <w:szCs w:val="22"/>
        </w:rPr>
        <w:t>980</w:t>
      </w:r>
      <w:r w:rsidRPr="00CB6D1F">
        <w:rPr>
          <w:sz w:val="22"/>
          <w:szCs w:val="22"/>
        </w:rPr>
        <w:t xml:space="preserve"> | </w:t>
      </w:r>
      <w:hyperlink r:id="rId8" w:history="1">
        <w:r w:rsidR="004D7F61" w:rsidRPr="00CB6D1F">
          <w:rPr>
            <w:rStyle w:val="Hyperlink"/>
            <w:color w:val="0563C1"/>
            <w:sz w:val="22"/>
            <w:szCs w:val="22"/>
          </w:rPr>
          <w:t>bmiller@scottishrenewables.com</w:t>
        </w:r>
      </w:hyperlink>
      <w:r w:rsidR="004D7F61" w:rsidRPr="00CB6D1F">
        <w:rPr>
          <w:rStyle w:val="Hyperlink"/>
          <w:color w:val="0563C1"/>
          <w:sz w:val="22"/>
          <w:szCs w:val="22"/>
        </w:rPr>
        <w:t xml:space="preserve"> </w:t>
      </w:r>
    </w:p>
    <w:p w14:paraId="617032EE" w14:textId="77777777" w:rsidR="008C7A79" w:rsidRPr="00CB6D1F" w:rsidRDefault="008C7A79" w:rsidP="008C7A79">
      <w:pPr>
        <w:pStyle w:val="RUK-Date"/>
        <w:rPr>
          <w:sz w:val="22"/>
          <w:szCs w:val="22"/>
        </w:rPr>
      </w:pPr>
    </w:p>
    <w:p w14:paraId="62274F29" w14:textId="77777777" w:rsidR="00332431" w:rsidRPr="00CB6D1F" w:rsidRDefault="00332431" w:rsidP="00332431">
      <w:pPr>
        <w:rPr>
          <w:rFonts w:ascii="Arial" w:hAnsi="Arial" w:cs="Arial"/>
          <w:b/>
          <w:bCs/>
          <w:color w:val="000000"/>
          <w:sz w:val="22"/>
          <w:szCs w:val="22"/>
          <w:lang w:eastAsia="en-GB"/>
        </w:rPr>
      </w:pPr>
      <w:r w:rsidRPr="00CB6D1F">
        <w:rPr>
          <w:rFonts w:ascii="Arial" w:hAnsi="Arial" w:cs="Arial"/>
          <w:b/>
          <w:bCs/>
          <w:color w:val="000000"/>
          <w:sz w:val="22"/>
          <w:szCs w:val="22"/>
        </w:rPr>
        <w:t>Alicia Green</w:t>
      </w:r>
    </w:p>
    <w:p w14:paraId="1914B9C1" w14:textId="77777777" w:rsidR="00332431" w:rsidRPr="00CB6D1F" w:rsidRDefault="00332431" w:rsidP="00332431">
      <w:pPr>
        <w:rPr>
          <w:rFonts w:ascii="Arial" w:hAnsi="Arial" w:cs="Arial"/>
          <w:bCs/>
          <w:color w:val="000000"/>
          <w:sz w:val="22"/>
          <w:szCs w:val="22"/>
        </w:rPr>
      </w:pPr>
      <w:r w:rsidRPr="00CB6D1F">
        <w:rPr>
          <w:rFonts w:ascii="Arial" w:hAnsi="Arial" w:cs="Arial"/>
          <w:bCs/>
          <w:color w:val="000000"/>
          <w:sz w:val="22"/>
          <w:szCs w:val="22"/>
        </w:rPr>
        <w:t xml:space="preserve">Policy Analyst – Planning &amp; Environment </w:t>
      </w:r>
    </w:p>
    <w:p w14:paraId="554A8E5A" w14:textId="77777777" w:rsidR="00DE35A3" w:rsidRPr="00CB6D1F" w:rsidRDefault="00332431" w:rsidP="00332431">
      <w:pPr>
        <w:rPr>
          <w:rFonts w:ascii="Arial" w:hAnsi="Arial" w:cs="Arial"/>
          <w:color w:val="000000"/>
          <w:sz w:val="22"/>
          <w:szCs w:val="22"/>
        </w:rPr>
      </w:pPr>
      <w:r w:rsidRPr="00CB6D1F">
        <w:rPr>
          <w:rFonts w:ascii="Arial" w:hAnsi="Arial" w:cs="Arial"/>
          <w:bCs/>
          <w:color w:val="000000"/>
          <w:sz w:val="22"/>
          <w:szCs w:val="22"/>
        </w:rPr>
        <w:t xml:space="preserve">RenewableUK | </w:t>
      </w:r>
      <w:r w:rsidR="00DE35A3" w:rsidRPr="00CB6D1F">
        <w:rPr>
          <w:rFonts w:ascii="Arial" w:hAnsi="Arial" w:cs="Arial"/>
          <w:lang w:eastAsia="en-GB"/>
        </w:rPr>
        <w:t>Chapter House, 22 Chapter Street, London, SW1P 4NP</w:t>
      </w:r>
      <w:r w:rsidR="00DE35A3" w:rsidRPr="00CB6D1F">
        <w:rPr>
          <w:rFonts w:ascii="Arial" w:hAnsi="Arial" w:cs="Arial"/>
          <w:color w:val="000000"/>
          <w:sz w:val="22"/>
          <w:szCs w:val="22"/>
        </w:rPr>
        <w:t xml:space="preserve"> </w:t>
      </w:r>
    </w:p>
    <w:p w14:paraId="25CA88C9" w14:textId="55FFE6EA" w:rsidR="000754E9" w:rsidRPr="00CB6D1F" w:rsidRDefault="00332431" w:rsidP="00332431">
      <w:pPr>
        <w:rPr>
          <w:rFonts w:ascii="Arial" w:hAnsi="Arial" w:cs="Arial"/>
          <w:sz w:val="22"/>
          <w:szCs w:val="22"/>
        </w:rPr>
      </w:pPr>
      <w:r w:rsidRPr="00CB6D1F">
        <w:rPr>
          <w:rFonts w:ascii="Arial" w:hAnsi="Arial" w:cs="Arial"/>
          <w:color w:val="000000"/>
          <w:sz w:val="22"/>
          <w:szCs w:val="22"/>
        </w:rPr>
        <w:t xml:space="preserve">+44 (0)20 7901 3044 | </w:t>
      </w:r>
      <w:hyperlink r:id="rId9" w:history="1">
        <w:r w:rsidRPr="00CB6D1F">
          <w:rPr>
            <w:rStyle w:val="Hyperlink"/>
            <w:rFonts w:ascii="Arial" w:hAnsi="Arial" w:cs="Arial"/>
            <w:color w:val="0563C1"/>
            <w:sz w:val="22"/>
            <w:szCs w:val="22"/>
          </w:rPr>
          <w:t>alicia.green@renewableuk.com</w:t>
        </w:r>
      </w:hyperlink>
    </w:p>
    <w:sectPr w:rsidR="000754E9" w:rsidRPr="00CB6D1F" w:rsidSect="00386AE5">
      <w:headerReference w:type="default" r:id="rId10"/>
      <w:headerReference w:type="first" r:id="rId11"/>
      <w:pgSz w:w="11901" w:h="16840"/>
      <w:pgMar w:top="1021" w:right="1814" w:bottom="1701" w:left="1418" w:header="709" w:footer="93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65D62" w14:textId="77777777" w:rsidR="007A4B70" w:rsidRDefault="007A4B70">
      <w:r>
        <w:separator/>
      </w:r>
    </w:p>
  </w:endnote>
  <w:endnote w:type="continuationSeparator" w:id="0">
    <w:p w14:paraId="50D77905" w14:textId="77777777" w:rsidR="007A4B70" w:rsidRDefault="007A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Eurostile">
    <w:altName w:val="Segoe Script"/>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F8F8F" w14:textId="77777777" w:rsidR="007A4B70" w:rsidRDefault="007A4B70">
      <w:r>
        <w:separator/>
      </w:r>
    </w:p>
  </w:footnote>
  <w:footnote w:type="continuationSeparator" w:id="0">
    <w:p w14:paraId="25C638B0" w14:textId="77777777" w:rsidR="007A4B70" w:rsidRDefault="007A4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3C302" w14:textId="77777777" w:rsidR="00DA2E64" w:rsidRDefault="00DA2E64">
    <w:pPr>
      <w:pStyle w:val="Header"/>
    </w:pPr>
  </w:p>
  <w:p w14:paraId="5F1D0309" w14:textId="77777777" w:rsidR="00DA2E64" w:rsidRDefault="00DA2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EE2BD" w14:textId="19465E84" w:rsidR="00DA2E64" w:rsidRDefault="00DD6A13">
    <w:pPr>
      <w:tabs>
        <w:tab w:val="left" w:pos="4320"/>
        <w:tab w:val="left" w:pos="7928"/>
      </w:tabs>
      <w:ind w:left="-8"/>
    </w:pPr>
    <w:r>
      <w:rPr>
        <w:noProof/>
        <w:lang w:eastAsia="en-GB"/>
      </w:rPr>
      <w:drawing>
        <wp:anchor distT="0" distB="0" distL="114300" distR="114300" simplePos="0" relativeHeight="251657728" behindDoc="0" locked="0" layoutInCell="1" allowOverlap="1" wp14:anchorId="1F154DF4" wp14:editId="2753B58F">
          <wp:simplePos x="0" y="0"/>
          <wp:positionH relativeFrom="column">
            <wp:posOffset>2404745</wp:posOffset>
          </wp:positionH>
          <wp:positionV relativeFrom="paragraph">
            <wp:posOffset>-78740</wp:posOffset>
          </wp:positionV>
          <wp:extent cx="2124075" cy="885825"/>
          <wp:effectExtent l="0" t="0" r="9525" b="9525"/>
          <wp:wrapNone/>
          <wp:docPr id="49" name="Picture 49" descr="RUK40-Logo RGB Blue-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UK40-Logo RGB Blue-Circle"/>
                  <pic:cNvPicPr>
                    <a:picLocks noChangeAspect="1" noChangeArrowheads="1"/>
                  </pic:cNvPicPr>
                </pic:nvPicPr>
                <pic:blipFill rotWithShape="1">
                  <a:blip r:embed="rId1">
                    <a:extLst>
                      <a:ext uri="{28A0092B-C50C-407E-A947-70E740481C1C}">
                        <a14:useLocalDpi xmlns:a14="http://schemas.microsoft.com/office/drawing/2010/main" val="0"/>
                      </a:ext>
                    </a:extLst>
                  </a:blip>
                  <a:srcRect l="-2" r="24916"/>
                  <a:stretch/>
                </pic:blipFill>
                <pic:spPr bwMode="auto">
                  <a:xfrm>
                    <a:off x="0" y="0"/>
                    <a:ext cx="2124075" cy="885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2962FF"/>
        <w:lang w:val="en"/>
      </w:rPr>
      <w:drawing>
        <wp:anchor distT="0" distB="0" distL="114300" distR="114300" simplePos="0" relativeHeight="251660800" behindDoc="0" locked="0" layoutInCell="1" allowOverlap="1" wp14:anchorId="487A1FDA" wp14:editId="3DF1DA6D">
          <wp:simplePos x="0" y="0"/>
          <wp:positionH relativeFrom="column">
            <wp:posOffset>-90805</wp:posOffset>
          </wp:positionH>
          <wp:positionV relativeFrom="paragraph">
            <wp:posOffset>-297180</wp:posOffset>
          </wp:positionV>
          <wp:extent cx="2257425" cy="1444752"/>
          <wp:effectExtent l="0" t="0" r="0" b="0"/>
          <wp:wrapNone/>
          <wp:docPr id="1" name="Picture 1" descr="Image result for scottish renewables">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ottish renewables">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57425" cy="14447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1D5663" w14:textId="36414F75" w:rsidR="00DA2E64" w:rsidRDefault="00DA2E64">
    <w:pPr>
      <w:tabs>
        <w:tab w:val="left" w:pos="4320"/>
        <w:tab w:val="left" w:pos="7928"/>
      </w:tabs>
      <w:ind w:left="-8"/>
    </w:pPr>
  </w:p>
  <w:p w14:paraId="6787D2C1" w14:textId="77777777" w:rsidR="00DA2E64" w:rsidRDefault="00DA2E64">
    <w:pPr>
      <w:tabs>
        <w:tab w:val="left" w:pos="4320"/>
        <w:tab w:val="left" w:pos="7928"/>
      </w:tabs>
      <w:ind w:left="-8"/>
    </w:pPr>
  </w:p>
  <w:p w14:paraId="60AD1831" w14:textId="77777777" w:rsidR="00DA2E64" w:rsidRDefault="00DA2E64">
    <w:pPr>
      <w:tabs>
        <w:tab w:val="left" w:pos="4320"/>
        <w:tab w:val="left" w:pos="7928"/>
      </w:tabs>
      <w:ind w:left="-8"/>
    </w:pPr>
  </w:p>
  <w:p w14:paraId="6B860716" w14:textId="77777777" w:rsidR="00DA2E64" w:rsidRDefault="00DA2E64">
    <w:pPr>
      <w:tabs>
        <w:tab w:val="left" w:pos="4320"/>
        <w:tab w:val="left" w:pos="7928"/>
      </w:tabs>
      <w:ind w:left="-8"/>
    </w:pPr>
  </w:p>
  <w:p w14:paraId="4B5A13A5" w14:textId="77777777" w:rsidR="00DA2E64" w:rsidRDefault="00DA2E64">
    <w:pPr>
      <w:tabs>
        <w:tab w:val="left" w:pos="990"/>
        <w:tab w:val="left" w:pos="5130"/>
        <w:tab w:val="left" w:pos="7928"/>
      </w:tabs>
      <w:ind w:left="-8"/>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5E42C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6E16BA94"/>
    <w:name w:val="WW8Num1"/>
    <w:lvl w:ilvl="0">
      <w:start w:val="1"/>
      <w:numFmt w:val="bullet"/>
      <w:lvlText w:val=""/>
      <w:lvlJc w:val="left"/>
      <w:pPr>
        <w:tabs>
          <w:tab w:val="num" w:pos="1080"/>
        </w:tabs>
        <w:ind w:left="1080" w:hanging="513"/>
      </w:pPr>
      <w:rPr>
        <w:rFonts w:ascii="Symbol" w:hAnsi="Symbol"/>
        <w:color w:val="auto"/>
        <w:sz w:val="20"/>
      </w:rPr>
    </w:lvl>
  </w:abstractNum>
  <w:abstractNum w:abstractNumId="2" w15:restartNumberingAfterBreak="0">
    <w:nsid w:val="22D91C06"/>
    <w:multiLevelType w:val="hybridMultilevel"/>
    <w:tmpl w:val="B1B04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2D11BE"/>
    <w:multiLevelType w:val="hybridMultilevel"/>
    <w:tmpl w:val="98F4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141B3D"/>
    <w:multiLevelType w:val="hybridMultilevel"/>
    <w:tmpl w:val="17B0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FC4D91"/>
    <w:multiLevelType w:val="hybridMultilevel"/>
    <w:tmpl w:val="04B0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471B11"/>
    <w:multiLevelType w:val="hybridMultilevel"/>
    <w:tmpl w:val="9C7E0F10"/>
    <w:lvl w:ilvl="0" w:tplc="9478646A">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6"/>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2"/>
  <w:drawingGridVerticalSpacing w:val="72"/>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o:colormru v:ext="edit" colors="#ef974a,#f93,#5a8cc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E89"/>
    <w:rsid w:val="0000286C"/>
    <w:rsid w:val="00003300"/>
    <w:rsid w:val="00005107"/>
    <w:rsid w:val="000137A4"/>
    <w:rsid w:val="000226AE"/>
    <w:rsid w:val="00024854"/>
    <w:rsid w:val="00033B8F"/>
    <w:rsid w:val="000458B1"/>
    <w:rsid w:val="00045ED7"/>
    <w:rsid w:val="000636EA"/>
    <w:rsid w:val="00067D0A"/>
    <w:rsid w:val="000719DA"/>
    <w:rsid w:val="00072AF7"/>
    <w:rsid w:val="000754E9"/>
    <w:rsid w:val="00083515"/>
    <w:rsid w:val="00093AAE"/>
    <w:rsid w:val="00094FDC"/>
    <w:rsid w:val="000A268A"/>
    <w:rsid w:val="000A3EF3"/>
    <w:rsid w:val="000B2289"/>
    <w:rsid w:val="000C06B7"/>
    <w:rsid w:val="000C0F15"/>
    <w:rsid w:val="000C72FD"/>
    <w:rsid w:val="000D518E"/>
    <w:rsid w:val="000F7C3B"/>
    <w:rsid w:val="001003A1"/>
    <w:rsid w:val="00100ACA"/>
    <w:rsid w:val="00104132"/>
    <w:rsid w:val="00106DCE"/>
    <w:rsid w:val="00112017"/>
    <w:rsid w:val="00135C9E"/>
    <w:rsid w:val="0014248A"/>
    <w:rsid w:val="00144A88"/>
    <w:rsid w:val="00161746"/>
    <w:rsid w:val="00164178"/>
    <w:rsid w:val="001812E6"/>
    <w:rsid w:val="001841DE"/>
    <w:rsid w:val="001926C2"/>
    <w:rsid w:val="001B6175"/>
    <w:rsid w:val="001C0DCB"/>
    <w:rsid w:val="001C1910"/>
    <w:rsid w:val="001D1067"/>
    <w:rsid w:val="001D1EE3"/>
    <w:rsid w:val="001D5B1B"/>
    <w:rsid w:val="001D6E85"/>
    <w:rsid w:val="001E3728"/>
    <w:rsid w:val="001E59D4"/>
    <w:rsid w:val="001E68A8"/>
    <w:rsid w:val="00200020"/>
    <w:rsid w:val="00203E2F"/>
    <w:rsid w:val="0021389F"/>
    <w:rsid w:val="00214889"/>
    <w:rsid w:val="00214922"/>
    <w:rsid w:val="00215FF7"/>
    <w:rsid w:val="002249C1"/>
    <w:rsid w:val="00234536"/>
    <w:rsid w:val="00245753"/>
    <w:rsid w:val="00256395"/>
    <w:rsid w:val="00270B71"/>
    <w:rsid w:val="0028779F"/>
    <w:rsid w:val="00296C89"/>
    <w:rsid w:val="002A1FA3"/>
    <w:rsid w:val="002A33AC"/>
    <w:rsid w:val="002A384B"/>
    <w:rsid w:val="002A6766"/>
    <w:rsid w:val="002A7E0A"/>
    <w:rsid w:val="002C1FDD"/>
    <w:rsid w:val="002C4CB0"/>
    <w:rsid w:val="002E0939"/>
    <w:rsid w:val="002E3810"/>
    <w:rsid w:val="002E6BCF"/>
    <w:rsid w:val="002E794E"/>
    <w:rsid w:val="00301267"/>
    <w:rsid w:val="003020EB"/>
    <w:rsid w:val="003042F2"/>
    <w:rsid w:val="00307973"/>
    <w:rsid w:val="003213D2"/>
    <w:rsid w:val="0032626F"/>
    <w:rsid w:val="00332431"/>
    <w:rsid w:val="00340143"/>
    <w:rsid w:val="00344DC0"/>
    <w:rsid w:val="00354A59"/>
    <w:rsid w:val="0036219F"/>
    <w:rsid w:val="0037570E"/>
    <w:rsid w:val="00376BB6"/>
    <w:rsid w:val="003778CF"/>
    <w:rsid w:val="003804BA"/>
    <w:rsid w:val="00386AE5"/>
    <w:rsid w:val="00386E7E"/>
    <w:rsid w:val="00397CF3"/>
    <w:rsid w:val="00397F51"/>
    <w:rsid w:val="003A3250"/>
    <w:rsid w:val="003A4D3A"/>
    <w:rsid w:val="003A5A6A"/>
    <w:rsid w:val="003B3394"/>
    <w:rsid w:val="003B51BA"/>
    <w:rsid w:val="003C523F"/>
    <w:rsid w:val="003C7C97"/>
    <w:rsid w:val="003D2E92"/>
    <w:rsid w:val="003D6D3C"/>
    <w:rsid w:val="003F0147"/>
    <w:rsid w:val="003F69B8"/>
    <w:rsid w:val="00415CF5"/>
    <w:rsid w:val="00426D2E"/>
    <w:rsid w:val="00436A01"/>
    <w:rsid w:val="004410A9"/>
    <w:rsid w:val="00443970"/>
    <w:rsid w:val="00450442"/>
    <w:rsid w:val="004750F8"/>
    <w:rsid w:val="00485EA2"/>
    <w:rsid w:val="004A13EA"/>
    <w:rsid w:val="004A23E6"/>
    <w:rsid w:val="004A65F7"/>
    <w:rsid w:val="004A6C75"/>
    <w:rsid w:val="004B3239"/>
    <w:rsid w:val="004B41B9"/>
    <w:rsid w:val="004B4388"/>
    <w:rsid w:val="004C2021"/>
    <w:rsid w:val="004C3250"/>
    <w:rsid w:val="004D7F61"/>
    <w:rsid w:val="004E3EE4"/>
    <w:rsid w:val="004E4A55"/>
    <w:rsid w:val="004E5911"/>
    <w:rsid w:val="00513158"/>
    <w:rsid w:val="00517134"/>
    <w:rsid w:val="00546E29"/>
    <w:rsid w:val="0056369C"/>
    <w:rsid w:val="00564BFF"/>
    <w:rsid w:val="005676DD"/>
    <w:rsid w:val="00575B1A"/>
    <w:rsid w:val="005910D8"/>
    <w:rsid w:val="005916A9"/>
    <w:rsid w:val="005A49A9"/>
    <w:rsid w:val="005A62EB"/>
    <w:rsid w:val="005B11C1"/>
    <w:rsid w:val="005B58E9"/>
    <w:rsid w:val="005D0D91"/>
    <w:rsid w:val="005D18CE"/>
    <w:rsid w:val="005D79E9"/>
    <w:rsid w:val="005E7A7C"/>
    <w:rsid w:val="005F412E"/>
    <w:rsid w:val="005F4929"/>
    <w:rsid w:val="00601B25"/>
    <w:rsid w:val="00617E89"/>
    <w:rsid w:val="00622435"/>
    <w:rsid w:val="00624493"/>
    <w:rsid w:val="00630137"/>
    <w:rsid w:val="0063526C"/>
    <w:rsid w:val="0064061D"/>
    <w:rsid w:val="00646F18"/>
    <w:rsid w:val="0065417B"/>
    <w:rsid w:val="0067122B"/>
    <w:rsid w:val="00681E0F"/>
    <w:rsid w:val="00685667"/>
    <w:rsid w:val="006A4D57"/>
    <w:rsid w:val="006B6935"/>
    <w:rsid w:val="006B6F7A"/>
    <w:rsid w:val="006D0ECF"/>
    <w:rsid w:val="006D4046"/>
    <w:rsid w:val="006D4E33"/>
    <w:rsid w:val="006E0180"/>
    <w:rsid w:val="006E06F6"/>
    <w:rsid w:val="006F7F3B"/>
    <w:rsid w:val="00702786"/>
    <w:rsid w:val="0070642E"/>
    <w:rsid w:val="00714C44"/>
    <w:rsid w:val="007214F6"/>
    <w:rsid w:val="007226A4"/>
    <w:rsid w:val="00743A9A"/>
    <w:rsid w:val="00755139"/>
    <w:rsid w:val="00762910"/>
    <w:rsid w:val="007719F3"/>
    <w:rsid w:val="00772DBE"/>
    <w:rsid w:val="00774438"/>
    <w:rsid w:val="00777180"/>
    <w:rsid w:val="00790F78"/>
    <w:rsid w:val="00795750"/>
    <w:rsid w:val="007A0CD3"/>
    <w:rsid w:val="007A2E55"/>
    <w:rsid w:val="007A4B70"/>
    <w:rsid w:val="007A501C"/>
    <w:rsid w:val="007B548F"/>
    <w:rsid w:val="007B5704"/>
    <w:rsid w:val="007E3041"/>
    <w:rsid w:val="007E7F05"/>
    <w:rsid w:val="00802608"/>
    <w:rsid w:val="00806091"/>
    <w:rsid w:val="00811092"/>
    <w:rsid w:val="008233A3"/>
    <w:rsid w:val="00825A1C"/>
    <w:rsid w:val="008302BB"/>
    <w:rsid w:val="0083381A"/>
    <w:rsid w:val="00836A45"/>
    <w:rsid w:val="00860BA3"/>
    <w:rsid w:val="00887234"/>
    <w:rsid w:val="008909C1"/>
    <w:rsid w:val="008A7DE3"/>
    <w:rsid w:val="008B6B37"/>
    <w:rsid w:val="008B6D05"/>
    <w:rsid w:val="008C7A79"/>
    <w:rsid w:val="008D7F33"/>
    <w:rsid w:val="008E29AF"/>
    <w:rsid w:val="008F7739"/>
    <w:rsid w:val="009018AB"/>
    <w:rsid w:val="0090444D"/>
    <w:rsid w:val="009125FC"/>
    <w:rsid w:val="009513FF"/>
    <w:rsid w:val="0096080F"/>
    <w:rsid w:val="00971DA6"/>
    <w:rsid w:val="00971FC6"/>
    <w:rsid w:val="009805A3"/>
    <w:rsid w:val="00990F9F"/>
    <w:rsid w:val="00991CF7"/>
    <w:rsid w:val="009A4766"/>
    <w:rsid w:val="009A4F29"/>
    <w:rsid w:val="009B1DC9"/>
    <w:rsid w:val="009C0AA1"/>
    <w:rsid w:val="009E51F1"/>
    <w:rsid w:val="009E7111"/>
    <w:rsid w:val="009F08E3"/>
    <w:rsid w:val="00A05191"/>
    <w:rsid w:val="00A21371"/>
    <w:rsid w:val="00A23368"/>
    <w:rsid w:val="00A23C3B"/>
    <w:rsid w:val="00A27115"/>
    <w:rsid w:val="00A3050D"/>
    <w:rsid w:val="00A30B02"/>
    <w:rsid w:val="00A31435"/>
    <w:rsid w:val="00A51F56"/>
    <w:rsid w:val="00A57A77"/>
    <w:rsid w:val="00A60D80"/>
    <w:rsid w:val="00A8123F"/>
    <w:rsid w:val="00A83F34"/>
    <w:rsid w:val="00A860F8"/>
    <w:rsid w:val="00AA3ED2"/>
    <w:rsid w:val="00AB36C8"/>
    <w:rsid w:val="00AC541B"/>
    <w:rsid w:val="00AC7EF3"/>
    <w:rsid w:val="00AD39AD"/>
    <w:rsid w:val="00AD5698"/>
    <w:rsid w:val="00AD7D29"/>
    <w:rsid w:val="00AE1FD2"/>
    <w:rsid w:val="00AE2748"/>
    <w:rsid w:val="00AE3663"/>
    <w:rsid w:val="00AE56C3"/>
    <w:rsid w:val="00B01CBE"/>
    <w:rsid w:val="00B04172"/>
    <w:rsid w:val="00B145BB"/>
    <w:rsid w:val="00B27E08"/>
    <w:rsid w:val="00B3157A"/>
    <w:rsid w:val="00B3188C"/>
    <w:rsid w:val="00B34A72"/>
    <w:rsid w:val="00B438A2"/>
    <w:rsid w:val="00B4495B"/>
    <w:rsid w:val="00B75B24"/>
    <w:rsid w:val="00B9740E"/>
    <w:rsid w:val="00BC155C"/>
    <w:rsid w:val="00BC44BA"/>
    <w:rsid w:val="00BE18A6"/>
    <w:rsid w:val="00BE53E8"/>
    <w:rsid w:val="00BF1B1C"/>
    <w:rsid w:val="00BF5797"/>
    <w:rsid w:val="00BF60D1"/>
    <w:rsid w:val="00C01CD6"/>
    <w:rsid w:val="00C17C11"/>
    <w:rsid w:val="00C207D7"/>
    <w:rsid w:val="00C213DA"/>
    <w:rsid w:val="00C2264D"/>
    <w:rsid w:val="00C23583"/>
    <w:rsid w:val="00C4374A"/>
    <w:rsid w:val="00C44C7A"/>
    <w:rsid w:val="00C51F99"/>
    <w:rsid w:val="00C9484E"/>
    <w:rsid w:val="00C9588A"/>
    <w:rsid w:val="00CA0A62"/>
    <w:rsid w:val="00CA311C"/>
    <w:rsid w:val="00CB2552"/>
    <w:rsid w:val="00CB477D"/>
    <w:rsid w:val="00CB6D1F"/>
    <w:rsid w:val="00CC2518"/>
    <w:rsid w:val="00CD02EC"/>
    <w:rsid w:val="00CD2764"/>
    <w:rsid w:val="00CD37CA"/>
    <w:rsid w:val="00CE360C"/>
    <w:rsid w:val="00CE7FD2"/>
    <w:rsid w:val="00CF0BFC"/>
    <w:rsid w:val="00CF5423"/>
    <w:rsid w:val="00D067CE"/>
    <w:rsid w:val="00D231B8"/>
    <w:rsid w:val="00D66425"/>
    <w:rsid w:val="00D871D4"/>
    <w:rsid w:val="00D8772E"/>
    <w:rsid w:val="00D9008C"/>
    <w:rsid w:val="00D93380"/>
    <w:rsid w:val="00D97B9F"/>
    <w:rsid w:val="00DA045D"/>
    <w:rsid w:val="00DA2E64"/>
    <w:rsid w:val="00DC034E"/>
    <w:rsid w:val="00DC08F9"/>
    <w:rsid w:val="00DC2B76"/>
    <w:rsid w:val="00DC2E87"/>
    <w:rsid w:val="00DC5C74"/>
    <w:rsid w:val="00DC7E0A"/>
    <w:rsid w:val="00DD6A13"/>
    <w:rsid w:val="00DE0ED9"/>
    <w:rsid w:val="00DE35A3"/>
    <w:rsid w:val="00DE5DE4"/>
    <w:rsid w:val="00DE7599"/>
    <w:rsid w:val="00DF5434"/>
    <w:rsid w:val="00E022C8"/>
    <w:rsid w:val="00E0773E"/>
    <w:rsid w:val="00E24DA8"/>
    <w:rsid w:val="00E25F5B"/>
    <w:rsid w:val="00E4122A"/>
    <w:rsid w:val="00E417E1"/>
    <w:rsid w:val="00E41A78"/>
    <w:rsid w:val="00E44712"/>
    <w:rsid w:val="00E44737"/>
    <w:rsid w:val="00E44A02"/>
    <w:rsid w:val="00E45028"/>
    <w:rsid w:val="00E57AE8"/>
    <w:rsid w:val="00E62F5F"/>
    <w:rsid w:val="00E73686"/>
    <w:rsid w:val="00EA0B09"/>
    <w:rsid w:val="00EA308B"/>
    <w:rsid w:val="00EA32CE"/>
    <w:rsid w:val="00EA73CE"/>
    <w:rsid w:val="00EB70AE"/>
    <w:rsid w:val="00EC0CEA"/>
    <w:rsid w:val="00EC1659"/>
    <w:rsid w:val="00EC5062"/>
    <w:rsid w:val="00EC67E1"/>
    <w:rsid w:val="00ED1142"/>
    <w:rsid w:val="00ED1C66"/>
    <w:rsid w:val="00ED7617"/>
    <w:rsid w:val="00EE225D"/>
    <w:rsid w:val="00EE28A3"/>
    <w:rsid w:val="00EE395B"/>
    <w:rsid w:val="00EF7B17"/>
    <w:rsid w:val="00F02927"/>
    <w:rsid w:val="00F06374"/>
    <w:rsid w:val="00F15D1C"/>
    <w:rsid w:val="00F25E45"/>
    <w:rsid w:val="00F4775F"/>
    <w:rsid w:val="00F53C2D"/>
    <w:rsid w:val="00F658FE"/>
    <w:rsid w:val="00F66A58"/>
    <w:rsid w:val="00F67EF9"/>
    <w:rsid w:val="00F8383C"/>
    <w:rsid w:val="00FA15CB"/>
    <w:rsid w:val="00FA336E"/>
    <w:rsid w:val="00FA586B"/>
    <w:rsid w:val="00FA619F"/>
    <w:rsid w:val="00FB056A"/>
    <w:rsid w:val="00FC65CE"/>
    <w:rsid w:val="00FD7A3F"/>
    <w:rsid w:val="00FF174A"/>
    <w:rsid w:val="00FF4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ef974a,#f93,#5a8cc7"/>
    </o:shapedefaults>
    <o:shapelayout v:ext="edit">
      <o:idmap v:ext="edit" data="1"/>
    </o:shapelayout>
  </w:shapeDefaults>
  <w:doNotEmbedSmartTags/>
  <w:decimalSymbol w:val="."/>
  <w:listSeparator w:val=","/>
  <w14:docId w14:val="4510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450"/>
        <w:tab w:val="left" w:pos="7928"/>
      </w:tabs>
      <w:spacing w:line="280" w:lineRule="exact"/>
      <w:ind w:left="-8"/>
      <w:outlineLvl w:val="0"/>
    </w:pPr>
    <w:rPr>
      <w:rFonts w:ascii="Eurostile" w:eastAsia="Trebuchet MS" w:hAnsi="Eurostile"/>
      <w:b/>
      <w:color w:val="FFFFFF"/>
      <w:sz w:val="16"/>
      <w:lang w:eastAsia="zh-TW"/>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180"/>
    </w:pPr>
    <w:rPr>
      <w:rFonts w:ascii="Garamond" w:hAnsi="Garamond"/>
      <w:sz w:val="22"/>
    </w:rPr>
  </w:style>
  <w:style w:type="paragraph" w:styleId="Date">
    <w:name w:val="Date"/>
    <w:basedOn w:val="BodyText"/>
    <w:next w:val="BodyText"/>
    <w:pPr>
      <w:spacing w:after="480"/>
    </w:p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pPr>
    <w:rPr>
      <w:rFonts w:eastAsia="Times New Roman"/>
      <w:kern w:val="28"/>
    </w:rPr>
  </w:style>
  <w:style w:type="paragraph" w:styleId="ListBullet">
    <w:name w:val="List Bullet"/>
    <w:basedOn w:val="Normal"/>
    <w:autoRedefine/>
    <w:pPr>
      <w:widowControl w:val="0"/>
      <w:numPr>
        <w:numId w:val="1"/>
      </w:numPr>
      <w:spacing w:after="80"/>
    </w:pPr>
    <w:rPr>
      <w:rFonts w:ascii="Times New Roman" w:eastAsia="Times New Roman" w:hAnsi="Times New Roman"/>
      <w:kern w:val="28"/>
      <w:sz w:val="20"/>
    </w:rPr>
  </w:style>
  <w:style w:type="paragraph" w:styleId="Salutation">
    <w:name w:val="Salutation"/>
    <w:basedOn w:val="BodyText"/>
    <w:next w:val="Normal"/>
    <w:pPr>
      <w:widowControl w:val="0"/>
      <w:spacing w:before="480" w:after="200"/>
    </w:pPr>
    <w:rPr>
      <w:rFonts w:eastAsia="Times New Roman"/>
      <w:kern w:val="28"/>
    </w:rPr>
  </w:style>
  <w:style w:type="paragraph" w:styleId="Closing">
    <w:name w:val="Closing"/>
    <w:basedOn w:val="BodyText"/>
    <w:pPr>
      <w:widowControl w:val="0"/>
      <w:spacing w:after="200"/>
    </w:pPr>
    <w:rPr>
      <w:rFonts w:eastAsia="Times New Roman"/>
      <w:kern w:val="28"/>
    </w:rPr>
  </w:style>
  <w:style w:type="paragraph" w:styleId="Signature">
    <w:name w:val="Signature"/>
    <w:basedOn w:val="BodyText"/>
    <w:pPr>
      <w:widowControl w:val="0"/>
      <w:spacing w:after="200"/>
    </w:pPr>
    <w:rPr>
      <w:rFonts w:eastAsia="Times New Roman"/>
      <w:kern w:val="28"/>
    </w:rPr>
  </w:style>
  <w:style w:type="paragraph" w:styleId="EnvelopeAddress">
    <w:name w:val="envelope address"/>
    <w:basedOn w:val="Normal"/>
    <w:pPr>
      <w:framePr w:w="7920" w:h="1980" w:hRule="exact" w:hSpace="180" w:wrap="auto" w:hAnchor="page" w:xAlign="center" w:yAlign="bottom"/>
      <w:spacing w:after="180" w:line="271" w:lineRule="auto"/>
      <w:ind w:left="2880"/>
    </w:pPr>
    <w:rPr>
      <w:rFonts w:ascii="Arial" w:eastAsia="Times New Roman" w:hAnsi="Arial"/>
      <w:color w:val="000000"/>
      <w:kern w:val="28"/>
    </w:rPr>
  </w:style>
  <w:style w:type="paragraph" w:styleId="BalloonText">
    <w:name w:val="Balloon Text"/>
    <w:basedOn w:val="Normal"/>
    <w:semiHidden/>
    <w:rPr>
      <w:rFonts w:ascii="Arial" w:hAnsi="Arial"/>
      <w:sz w:val="18"/>
    </w:rPr>
  </w:style>
  <w:style w:type="paragraph" w:customStyle="1" w:styleId="Instructions">
    <w:name w:val="Instructions"/>
    <w:basedOn w:val="Normal"/>
    <w:pPr>
      <w:spacing w:line="220" w:lineRule="exact"/>
    </w:pPr>
    <w:rPr>
      <w:rFonts w:ascii="Lucida Sans" w:eastAsia="Times New Roman" w:hAnsi="Lucida Sans"/>
      <w:color w:val="000080"/>
      <w:sz w:val="18"/>
      <w:lang w:eastAsia="ja-JP"/>
    </w:rPr>
  </w:style>
  <w:style w:type="paragraph" w:customStyle="1" w:styleId="BodyTextInstructions">
    <w:name w:val="Body Text Instructions"/>
    <w:basedOn w:val="BodyText"/>
  </w:style>
  <w:style w:type="character" w:styleId="Hyperlink">
    <w:name w:val="Hyperlink"/>
    <w:rsid w:val="00CF22BA"/>
    <w:rPr>
      <w:color w:val="0000FF"/>
      <w:u w:val="single"/>
    </w:rPr>
  </w:style>
  <w:style w:type="character" w:customStyle="1" w:styleId="BodyTextIcon">
    <w:name w:val="Body Text Icon"/>
    <w:rPr>
      <w:position w:val="-4"/>
    </w:rPr>
  </w:style>
  <w:style w:type="paragraph" w:customStyle="1" w:styleId="RUK-Header">
    <w:name w:val="RUK-Header"/>
    <w:basedOn w:val="Normal"/>
    <w:rsid w:val="009125FC"/>
    <w:pPr>
      <w:tabs>
        <w:tab w:val="left" w:pos="8647"/>
      </w:tabs>
      <w:spacing w:before="60" w:afterLines="60" w:after="144"/>
    </w:pPr>
    <w:rPr>
      <w:rFonts w:ascii="Arial" w:hAnsi="Arial" w:cs="Arial"/>
      <w:b/>
      <w:sz w:val="40"/>
      <w:szCs w:val="40"/>
    </w:rPr>
  </w:style>
  <w:style w:type="paragraph" w:customStyle="1" w:styleId="RUK-Subhead">
    <w:name w:val="RUK-Subhead"/>
    <w:basedOn w:val="Normal"/>
    <w:rsid w:val="009125FC"/>
    <w:rPr>
      <w:rFonts w:ascii="Arial" w:hAnsi="Arial" w:cs="Arial"/>
      <w:b/>
      <w:sz w:val="20"/>
    </w:rPr>
  </w:style>
  <w:style w:type="paragraph" w:customStyle="1" w:styleId="RUK-Date">
    <w:name w:val="RUK-Date"/>
    <w:basedOn w:val="Normal"/>
    <w:rsid w:val="009125FC"/>
    <w:rPr>
      <w:rFonts w:ascii="Arial" w:hAnsi="Arial" w:cs="Arial"/>
      <w:sz w:val="20"/>
    </w:rPr>
  </w:style>
  <w:style w:type="paragraph" w:customStyle="1" w:styleId="RUKBody">
    <w:name w:val="RUK_Body"/>
    <w:basedOn w:val="Normal"/>
    <w:rsid w:val="009125FC"/>
    <w:pPr>
      <w:spacing w:before="60" w:afterLines="60" w:after="144"/>
    </w:pPr>
    <w:rPr>
      <w:rFonts w:ascii="Arial" w:hAnsi="Arial" w:cs="Arial"/>
      <w:sz w:val="20"/>
    </w:rPr>
  </w:style>
  <w:style w:type="character" w:customStyle="1" w:styleId="UnresolvedMention1">
    <w:name w:val="Unresolved Mention1"/>
    <w:uiPriority w:val="99"/>
    <w:semiHidden/>
    <w:unhideWhenUsed/>
    <w:rsid w:val="00340143"/>
    <w:rPr>
      <w:color w:val="808080"/>
      <w:shd w:val="clear" w:color="auto" w:fill="E6E6E6"/>
    </w:rPr>
  </w:style>
  <w:style w:type="paragraph" w:styleId="ListParagraph">
    <w:name w:val="List Paragraph"/>
    <w:basedOn w:val="Normal"/>
    <w:uiPriority w:val="34"/>
    <w:qFormat/>
    <w:rsid w:val="00617E89"/>
    <w:pPr>
      <w:spacing w:after="200" w:line="276" w:lineRule="auto"/>
      <w:ind w:left="720"/>
      <w:contextualSpacing/>
    </w:pPr>
    <w:rPr>
      <w:rFonts w:ascii="Calibri" w:eastAsiaTheme="minorHAnsi" w:hAnsi="Calibri" w:cs="Calibri"/>
      <w:sz w:val="22"/>
      <w:szCs w:val="22"/>
    </w:rPr>
  </w:style>
  <w:style w:type="character" w:styleId="CommentReference">
    <w:name w:val="annotation reference"/>
    <w:basedOn w:val="DefaultParagraphFont"/>
    <w:rsid w:val="00215FF7"/>
    <w:rPr>
      <w:sz w:val="16"/>
      <w:szCs w:val="16"/>
    </w:rPr>
  </w:style>
  <w:style w:type="paragraph" w:styleId="CommentText">
    <w:name w:val="annotation text"/>
    <w:basedOn w:val="Normal"/>
    <w:link w:val="CommentTextChar"/>
    <w:rsid w:val="00215FF7"/>
    <w:rPr>
      <w:sz w:val="20"/>
    </w:rPr>
  </w:style>
  <w:style w:type="character" w:customStyle="1" w:styleId="CommentTextChar">
    <w:name w:val="Comment Text Char"/>
    <w:basedOn w:val="DefaultParagraphFont"/>
    <w:link w:val="CommentText"/>
    <w:rsid w:val="00215FF7"/>
    <w:rPr>
      <w:lang w:val="en-US" w:eastAsia="en-US"/>
    </w:rPr>
  </w:style>
  <w:style w:type="paragraph" w:styleId="CommentSubject">
    <w:name w:val="annotation subject"/>
    <w:basedOn w:val="CommentText"/>
    <w:next w:val="CommentText"/>
    <w:link w:val="CommentSubjectChar"/>
    <w:rsid w:val="00215FF7"/>
    <w:rPr>
      <w:b/>
      <w:bCs/>
    </w:rPr>
  </w:style>
  <w:style w:type="character" w:customStyle="1" w:styleId="CommentSubjectChar">
    <w:name w:val="Comment Subject Char"/>
    <w:basedOn w:val="CommentTextChar"/>
    <w:link w:val="CommentSubject"/>
    <w:rsid w:val="00215FF7"/>
    <w:rPr>
      <w:b/>
      <w:bCs/>
      <w:lang w:val="en-US" w:eastAsia="en-US"/>
    </w:rPr>
  </w:style>
  <w:style w:type="paragraph" w:styleId="FootnoteText">
    <w:name w:val="footnote text"/>
    <w:basedOn w:val="Normal"/>
    <w:link w:val="FootnoteTextChar"/>
    <w:rsid w:val="00A23368"/>
    <w:rPr>
      <w:sz w:val="20"/>
    </w:rPr>
  </w:style>
  <w:style w:type="character" w:customStyle="1" w:styleId="FootnoteTextChar">
    <w:name w:val="Footnote Text Char"/>
    <w:basedOn w:val="DefaultParagraphFont"/>
    <w:link w:val="FootnoteText"/>
    <w:rsid w:val="00A23368"/>
    <w:rPr>
      <w:lang w:eastAsia="en-US"/>
    </w:rPr>
  </w:style>
  <w:style w:type="character" w:styleId="FootnoteReference">
    <w:name w:val="footnote reference"/>
    <w:basedOn w:val="DefaultParagraphFont"/>
    <w:rsid w:val="00A23368"/>
    <w:rPr>
      <w:vertAlign w:val="superscript"/>
    </w:rPr>
  </w:style>
  <w:style w:type="character" w:styleId="UnresolvedMention">
    <w:name w:val="Unresolved Mention"/>
    <w:basedOn w:val="DefaultParagraphFont"/>
    <w:uiPriority w:val="99"/>
    <w:semiHidden/>
    <w:unhideWhenUsed/>
    <w:rsid w:val="008C7A79"/>
    <w:rPr>
      <w:color w:val="605E5C"/>
      <w:shd w:val="clear" w:color="auto" w:fill="E1DFDD"/>
    </w:rPr>
  </w:style>
  <w:style w:type="paragraph" w:styleId="NormalWeb">
    <w:name w:val="Normal (Web)"/>
    <w:basedOn w:val="Normal"/>
    <w:uiPriority w:val="99"/>
    <w:unhideWhenUsed/>
    <w:rsid w:val="006A4D57"/>
    <w:pPr>
      <w:spacing w:before="100" w:beforeAutospacing="1" w:after="100" w:afterAutospacing="1"/>
    </w:pPr>
    <w:rPr>
      <w:rFonts w:ascii="Times New Roman" w:eastAsiaTheme="minorHAnsi"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03445">
      <w:bodyDiv w:val="1"/>
      <w:marLeft w:val="0"/>
      <w:marRight w:val="0"/>
      <w:marTop w:val="0"/>
      <w:marBottom w:val="0"/>
      <w:divBdr>
        <w:top w:val="none" w:sz="0" w:space="0" w:color="auto"/>
        <w:left w:val="none" w:sz="0" w:space="0" w:color="auto"/>
        <w:bottom w:val="none" w:sz="0" w:space="0" w:color="auto"/>
        <w:right w:val="none" w:sz="0" w:space="0" w:color="auto"/>
      </w:divBdr>
    </w:div>
    <w:div w:id="538519249">
      <w:bodyDiv w:val="1"/>
      <w:marLeft w:val="0"/>
      <w:marRight w:val="0"/>
      <w:marTop w:val="0"/>
      <w:marBottom w:val="0"/>
      <w:divBdr>
        <w:top w:val="none" w:sz="0" w:space="0" w:color="auto"/>
        <w:left w:val="none" w:sz="0" w:space="0" w:color="auto"/>
        <w:bottom w:val="none" w:sz="0" w:space="0" w:color="auto"/>
        <w:right w:val="none" w:sz="0" w:space="0" w:color="auto"/>
      </w:divBdr>
    </w:div>
    <w:div w:id="682169434">
      <w:bodyDiv w:val="1"/>
      <w:marLeft w:val="0"/>
      <w:marRight w:val="0"/>
      <w:marTop w:val="0"/>
      <w:marBottom w:val="0"/>
      <w:divBdr>
        <w:top w:val="none" w:sz="0" w:space="0" w:color="auto"/>
        <w:left w:val="none" w:sz="0" w:space="0" w:color="auto"/>
        <w:bottom w:val="none" w:sz="0" w:space="0" w:color="auto"/>
        <w:right w:val="none" w:sz="0" w:space="0" w:color="auto"/>
      </w:divBdr>
    </w:div>
    <w:div w:id="799495817">
      <w:bodyDiv w:val="1"/>
      <w:marLeft w:val="0"/>
      <w:marRight w:val="0"/>
      <w:marTop w:val="0"/>
      <w:marBottom w:val="0"/>
      <w:divBdr>
        <w:top w:val="none" w:sz="0" w:space="0" w:color="auto"/>
        <w:left w:val="none" w:sz="0" w:space="0" w:color="auto"/>
        <w:bottom w:val="none" w:sz="0" w:space="0" w:color="auto"/>
        <w:right w:val="none" w:sz="0" w:space="0" w:color="auto"/>
      </w:divBdr>
    </w:div>
    <w:div w:id="1159351171">
      <w:bodyDiv w:val="1"/>
      <w:marLeft w:val="0"/>
      <w:marRight w:val="0"/>
      <w:marTop w:val="0"/>
      <w:marBottom w:val="0"/>
      <w:divBdr>
        <w:top w:val="none" w:sz="0" w:space="0" w:color="auto"/>
        <w:left w:val="none" w:sz="0" w:space="0" w:color="auto"/>
        <w:bottom w:val="none" w:sz="0" w:space="0" w:color="auto"/>
        <w:right w:val="none" w:sz="0" w:space="0" w:color="auto"/>
      </w:divBdr>
    </w:div>
    <w:div w:id="1842499538">
      <w:bodyDiv w:val="1"/>
      <w:marLeft w:val="0"/>
      <w:marRight w:val="0"/>
      <w:marTop w:val="0"/>
      <w:marBottom w:val="0"/>
      <w:divBdr>
        <w:top w:val="none" w:sz="0" w:space="0" w:color="auto"/>
        <w:left w:val="none" w:sz="0" w:space="0" w:color="auto"/>
        <w:bottom w:val="none" w:sz="0" w:space="0" w:color="auto"/>
        <w:right w:val="none" w:sz="0" w:space="0" w:color="auto"/>
      </w:divBdr>
    </w:div>
    <w:div w:id="197043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miller@scottishrenewable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icia.green@renewableuk.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google.co.uk/url?sa=i&amp;url=https%3A%2F%2Finterface-online.org.uk%2Fnews%2Frd-drives-innovation-renewables-sector&amp;psig=AOvVaw0jXpubRnGEck3zf_9iuhef&amp;ust=1581165306095000&amp;source=images&amp;cd=vfe&amp;ved=0CAIQjRxqFwoTCNj0gvW5v-cCFQAAAAAdAAAAABA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DA580-5E9E-43A7-8813-2E0C47CB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2736</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Letterhead</vt:lpstr>
    </vt:vector>
  </TitlesOfParts>
  <LinksUpToDate>false</LinksUpToDate>
  <CharactersWithSpaces>18404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
  <cp:lastModifiedBy/>
  <cp:revision>1</cp:revision>
  <cp:lastPrinted>2004-01-09T13:22:00Z</cp:lastPrinted>
  <dcterms:created xsi:type="dcterms:W3CDTF">2020-03-09T10:08:00Z</dcterms:created>
  <dcterms:modified xsi:type="dcterms:W3CDTF">2020-03-10T10:50:00Z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