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FB" w:rsidRPr="00B55AA5" w:rsidRDefault="000655D4" w:rsidP="00F36A8C">
      <w:pPr>
        <w:rPr>
          <w:rFonts w:ascii="Arial" w:hAnsi="Arial" w:cs="Arial"/>
          <w:sz w:val="24"/>
          <w:szCs w:val="24"/>
        </w:rPr>
      </w:pPr>
      <w:r>
        <w:rPr>
          <w:rFonts w:ascii="Arial" w:hAnsi="Arial" w:cs="Arial"/>
          <w:sz w:val="24"/>
          <w:szCs w:val="24"/>
        </w:rPr>
        <w:t>Cathy McClay</w:t>
      </w:r>
      <w:r w:rsidR="005A74FB" w:rsidRPr="00B55AA5">
        <w:rPr>
          <w:rFonts w:ascii="Arial" w:hAnsi="Arial" w:cs="Arial"/>
          <w:sz w:val="24"/>
          <w:szCs w:val="24"/>
        </w:rPr>
        <w:br/>
      </w:r>
      <w:r>
        <w:rPr>
          <w:rFonts w:ascii="Arial" w:hAnsi="Arial" w:cs="Arial"/>
          <w:sz w:val="24"/>
          <w:szCs w:val="24"/>
        </w:rPr>
        <w:t>Head of Commercial, Electricity</w:t>
      </w:r>
      <w:r w:rsidR="005A74FB" w:rsidRPr="00B55AA5">
        <w:rPr>
          <w:rFonts w:ascii="Arial" w:hAnsi="Arial" w:cs="Arial"/>
          <w:sz w:val="24"/>
          <w:szCs w:val="24"/>
        </w:rPr>
        <w:br/>
      </w:r>
      <w:r>
        <w:rPr>
          <w:rFonts w:ascii="Arial" w:hAnsi="Arial" w:cs="Arial"/>
          <w:sz w:val="24"/>
          <w:szCs w:val="24"/>
        </w:rPr>
        <w:t>National Grid House</w:t>
      </w:r>
      <w:r w:rsidR="005A74FB" w:rsidRPr="00B55AA5">
        <w:rPr>
          <w:rFonts w:ascii="Arial" w:hAnsi="Arial" w:cs="Arial"/>
          <w:sz w:val="24"/>
          <w:szCs w:val="24"/>
        </w:rPr>
        <w:br/>
      </w:r>
      <w:r>
        <w:rPr>
          <w:rFonts w:ascii="Arial" w:hAnsi="Arial" w:cs="Arial"/>
          <w:sz w:val="24"/>
          <w:szCs w:val="24"/>
        </w:rPr>
        <w:t>Warwick Technology Park</w:t>
      </w:r>
      <w:r w:rsidR="005A74FB" w:rsidRPr="00B55AA5">
        <w:rPr>
          <w:rFonts w:ascii="Arial" w:hAnsi="Arial" w:cs="Arial"/>
          <w:sz w:val="24"/>
          <w:szCs w:val="24"/>
        </w:rPr>
        <w:br/>
      </w:r>
      <w:r>
        <w:rPr>
          <w:rFonts w:ascii="Arial" w:hAnsi="Arial" w:cs="Arial"/>
          <w:sz w:val="24"/>
          <w:szCs w:val="24"/>
        </w:rPr>
        <w:t>CV34 6DA</w:t>
      </w:r>
    </w:p>
    <w:sdt>
      <w:sdtPr>
        <w:rPr>
          <w:rFonts w:ascii="Arial" w:hAnsi="Arial" w:cs="Arial"/>
          <w:sz w:val="24"/>
          <w:szCs w:val="24"/>
        </w:rPr>
        <w:alias w:val="Please select the date"/>
        <w:tag w:val="Please select the date"/>
        <w:id w:val="-1603492743"/>
        <w:placeholder>
          <w:docPart w:val="C06AC015EEBF44C4B60889E9BE8DB43B"/>
        </w:placeholder>
        <w:date w:fullDate="2017-07-10T00:00:00Z">
          <w:dateFormat w:val="dd MMMM yyyy"/>
          <w:lid w:val="en-GB"/>
          <w:storeMappedDataAs w:val="dateTime"/>
          <w:calendar w:val="gregorian"/>
        </w:date>
      </w:sdtPr>
      <w:sdtEndPr/>
      <w:sdtContent>
        <w:p w:rsidR="005A74FB" w:rsidRDefault="003529B7" w:rsidP="005A74FB">
          <w:pPr>
            <w:rPr>
              <w:rFonts w:ascii="Arial" w:hAnsi="Arial" w:cs="Arial"/>
              <w:sz w:val="24"/>
              <w:szCs w:val="24"/>
            </w:rPr>
          </w:pPr>
          <w:r w:rsidRPr="003529B7">
            <w:rPr>
              <w:rFonts w:ascii="Arial" w:hAnsi="Arial" w:cs="Arial"/>
              <w:sz w:val="24"/>
              <w:szCs w:val="24"/>
            </w:rPr>
            <w:t>10 July 2017</w:t>
          </w:r>
        </w:p>
      </w:sdtContent>
    </w:sdt>
    <w:p w:rsidR="005A74FB" w:rsidRPr="00B55AA5" w:rsidRDefault="005A74FB" w:rsidP="005A74FB">
      <w:pPr>
        <w:rPr>
          <w:rFonts w:ascii="Arial" w:hAnsi="Arial" w:cs="Arial"/>
          <w:sz w:val="24"/>
          <w:szCs w:val="24"/>
        </w:rPr>
      </w:pPr>
      <w:r w:rsidRPr="00B55AA5">
        <w:rPr>
          <w:rFonts w:ascii="Arial" w:hAnsi="Arial" w:cs="Arial"/>
          <w:sz w:val="24"/>
          <w:szCs w:val="24"/>
        </w:rPr>
        <w:t xml:space="preserve">Dear </w:t>
      </w:r>
      <w:r w:rsidR="000C6D5A">
        <w:rPr>
          <w:rFonts w:ascii="Arial" w:hAnsi="Arial" w:cs="Arial"/>
          <w:sz w:val="24"/>
          <w:szCs w:val="24"/>
        </w:rPr>
        <w:t>Ms McClay</w:t>
      </w:r>
    </w:p>
    <w:p w:rsidR="005A74FB" w:rsidRPr="00B55AA5" w:rsidRDefault="00713C13" w:rsidP="005A74FB">
      <w:pPr>
        <w:rPr>
          <w:rFonts w:ascii="Arial" w:hAnsi="Arial" w:cs="Arial"/>
          <w:b/>
          <w:sz w:val="24"/>
          <w:szCs w:val="24"/>
        </w:rPr>
      </w:pPr>
      <w:r>
        <w:rPr>
          <w:rFonts w:ascii="Arial" w:hAnsi="Arial" w:cs="Arial"/>
          <w:b/>
          <w:sz w:val="24"/>
          <w:szCs w:val="24"/>
        </w:rPr>
        <w:t xml:space="preserve">System Needs and Product Strategy: Consultation Response </w:t>
      </w:r>
    </w:p>
    <w:p w:rsidR="006B1D4E" w:rsidRDefault="006B1D4E" w:rsidP="006B1D4E">
      <w:pPr>
        <w:rPr>
          <w:rFonts w:ascii="Arial" w:hAnsi="Arial" w:cs="Arial"/>
        </w:rPr>
      </w:pPr>
      <w:r w:rsidRPr="006B1D4E">
        <w:rPr>
          <w:rFonts w:ascii="Arial" w:hAnsi="Arial" w:cs="Arial"/>
        </w:rPr>
        <w:t>Scottish Renewables is the representative body for the renewable energy industry in Scotland, working to deliver a low-carbon, secure energy system, integrating renewable electricity, heat and transport at the lowest possible cost.</w:t>
      </w:r>
    </w:p>
    <w:p w:rsidR="006B3456" w:rsidRDefault="006B3456" w:rsidP="006B1D4E">
      <w:pPr>
        <w:rPr>
          <w:rFonts w:ascii="Arial" w:hAnsi="Arial" w:cs="Arial"/>
        </w:rPr>
      </w:pPr>
      <w:r>
        <w:rPr>
          <w:rFonts w:ascii="Arial" w:hAnsi="Arial" w:cs="Arial"/>
        </w:rPr>
        <w:t xml:space="preserve">The System Needs and Product Strategy </w:t>
      </w:r>
      <w:proofErr w:type="spellStart"/>
      <w:r>
        <w:rPr>
          <w:rFonts w:ascii="Arial" w:hAnsi="Arial" w:cs="Arial"/>
        </w:rPr>
        <w:t>consulation</w:t>
      </w:r>
      <w:proofErr w:type="spellEnd"/>
      <w:r>
        <w:rPr>
          <w:rFonts w:ascii="Arial" w:hAnsi="Arial" w:cs="Arial"/>
        </w:rPr>
        <w:t xml:space="preserve"> is welcome recognition </w:t>
      </w:r>
      <w:r w:rsidR="00C67266">
        <w:rPr>
          <w:rFonts w:ascii="Arial" w:hAnsi="Arial" w:cs="Arial"/>
        </w:rPr>
        <w:t xml:space="preserve">of the need to reform the ancillary service market as work to meet our carbon reduction targets and transition to a smart more flexible energy system. </w:t>
      </w:r>
    </w:p>
    <w:p w:rsidR="00654E1E" w:rsidRDefault="00654E1E" w:rsidP="006B1D4E">
      <w:pPr>
        <w:rPr>
          <w:rFonts w:ascii="Arial" w:hAnsi="Arial" w:cs="Arial"/>
        </w:rPr>
      </w:pPr>
      <w:r>
        <w:rPr>
          <w:rFonts w:ascii="Arial" w:hAnsi="Arial" w:cs="Arial"/>
        </w:rPr>
        <w:t>In order to provide the</w:t>
      </w:r>
      <w:r>
        <w:rPr>
          <w:rFonts w:ascii="Arial" w:hAnsi="Arial" w:cs="Arial"/>
        </w:rPr>
        <w:t xml:space="preserve"> lowest cost to the consumer</w:t>
      </w:r>
      <w:r>
        <w:rPr>
          <w:rFonts w:ascii="Arial" w:hAnsi="Arial" w:cs="Arial"/>
        </w:rPr>
        <w:t xml:space="preserve">, it is important that the ancillary service market will be sufficient to underpin investment in new and necessary sources of flexibility while allowing existing </w:t>
      </w:r>
      <w:r>
        <w:rPr>
          <w:rFonts w:ascii="Arial" w:hAnsi="Arial" w:cs="Arial"/>
        </w:rPr>
        <w:t xml:space="preserve">assets to </w:t>
      </w:r>
      <w:r w:rsidR="00C67266">
        <w:rPr>
          <w:rFonts w:ascii="Arial" w:hAnsi="Arial" w:cs="Arial"/>
        </w:rPr>
        <w:t>provide a wider range of services</w:t>
      </w:r>
      <w:r>
        <w:rPr>
          <w:rFonts w:ascii="Arial" w:hAnsi="Arial" w:cs="Arial"/>
        </w:rPr>
        <w:t xml:space="preserve">. </w:t>
      </w:r>
    </w:p>
    <w:p w:rsidR="006B1D4E" w:rsidRDefault="00654E1E" w:rsidP="006B1D4E">
      <w:pPr>
        <w:rPr>
          <w:rFonts w:ascii="Arial" w:hAnsi="Arial" w:cs="Arial"/>
        </w:rPr>
      </w:pPr>
      <w:r>
        <w:rPr>
          <w:rFonts w:ascii="Arial" w:hAnsi="Arial" w:cs="Arial"/>
        </w:rPr>
        <w:t>It is our view that this can b</w:t>
      </w:r>
      <w:r w:rsidR="00C06DDD">
        <w:rPr>
          <w:rFonts w:ascii="Arial" w:hAnsi="Arial" w:cs="Arial"/>
        </w:rPr>
        <w:t xml:space="preserve">est achieved by: </w:t>
      </w:r>
    </w:p>
    <w:p w:rsidR="00C35165" w:rsidRDefault="00C67266" w:rsidP="00C67266">
      <w:pPr>
        <w:pStyle w:val="ListParagraph"/>
        <w:numPr>
          <w:ilvl w:val="0"/>
          <w:numId w:val="1"/>
        </w:numPr>
      </w:pPr>
      <w:r>
        <w:rPr>
          <w:b/>
        </w:rPr>
        <w:t>Creatin</w:t>
      </w:r>
      <w:r w:rsidR="00C06DDD" w:rsidRPr="00C67266">
        <w:rPr>
          <w:b/>
        </w:rPr>
        <w:t xml:space="preserve">g a level playing field: </w:t>
      </w:r>
      <w:r w:rsidR="00654E1E" w:rsidRPr="00C35165">
        <w:t>A</w:t>
      </w:r>
      <w:r w:rsidR="00C06DDD" w:rsidRPr="00C35165">
        <w:t xml:space="preserve">ll technologies </w:t>
      </w:r>
      <w:r w:rsidR="00654E1E" w:rsidRPr="00C35165">
        <w:t xml:space="preserve">should be able </w:t>
      </w:r>
      <w:r w:rsidR="00C06DDD" w:rsidRPr="00C35165">
        <w:t xml:space="preserve">to compete </w:t>
      </w:r>
      <w:r w:rsidR="00654E1E" w:rsidRPr="00C35165">
        <w:t xml:space="preserve">to provide service </w:t>
      </w:r>
      <w:r>
        <w:t>to ensure</w:t>
      </w:r>
      <w:r w:rsidR="00C06DDD" w:rsidRPr="00C35165">
        <w:t xml:space="preserve"> that the most efficient solutions are delivered for the system.</w:t>
      </w:r>
      <w:r w:rsidR="00262158" w:rsidRPr="00C35165">
        <w:t xml:space="preserve"> </w:t>
      </w:r>
      <w:r w:rsidR="00654E1E" w:rsidRPr="00C35165">
        <w:t xml:space="preserve"> This will require an appropriate balance between providing simple and transparen</w:t>
      </w:r>
      <w:r>
        <w:t>t market mechanisms</w:t>
      </w:r>
      <w:r w:rsidR="00654E1E" w:rsidRPr="00C35165">
        <w:t xml:space="preserve"> while creating suitable flexibility to allow </w:t>
      </w:r>
      <w:r w:rsidR="00C35165" w:rsidRPr="00C35165">
        <w:t xml:space="preserve">different types of investment to come forward. </w:t>
      </w:r>
    </w:p>
    <w:p w:rsidR="00262158" w:rsidRDefault="00654E1E" w:rsidP="00C35165">
      <w:pPr>
        <w:pStyle w:val="ListParagraph"/>
        <w:ind w:left="360"/>
      </w:pPr>
      <w:r w:rsidRPr="00C35165">
        <w:t xml:space="preserve"> </w:t>
      </w:r>
    </w:p>
    <w:p w:rsidR="00C35165" w:rsidRPr="00C35165" w:rsidRDefault="00C35165" w:rsidP="00262158">
      <w:pPr>
        <w:pStyle w:val="ListParagraph"/>
        <w:numPr>
          <w:ilvl w:val="0"/>
          <w:numId w:val="1"/>
        </w:numPr>
      </w:pPr>
      <w:r>
        <w:rPr>
          <w:b/>
        </w:rPr>
        <w:t>Identifying value:</w:t>
      </w:r>
      <w:r>
        <w:t xml:space="preserve"> </w:t>
      </w:r>
      <w:r w:rsidR="00375ACE">
        <w:t xml:space="preserve">There is some </w:t>
      </w:r>
      <w:r w:rsidR="00601B39">
        <w:t>concern that</w:t>
      </w:r>
      <w:r w:rsidR="00375ACE">
        <w:t xml:space="preserve"> the current consultation doesn’t provide any detail as to how National Grid will assess the value of </w:t>
      </w:r>
      <w:r w:rsidR="006B3456">
        <w:t xml:space="preserve">required </w:t>
      </w:r>
      <w:r w:rsidR="00375ACE">
        <w:t>services</w:t>
      </w:r>
      <w:r w:rsidR="00C67266">
        <w:t>. This is</w:t>
      </w:r>
      <w:r w:rsidR="006B3456">
        <w:t xml:space="preserve"> the fundamental driver to any investment decision</w:t>
      </w:r>
      <w:r w:rsidR="00C67266">
        <w:t xml:space="preserve">, and National Grid is the </w:t>
      </w:r>
      <w:r w:rsidR="006B3456">
        <w:t xml:space="preserve">only party that hold the information necessary to unpick the value of existing and future markets. </w:t>
      </w:r>
    </w:p>
    <w:p w:rsidR="00C35165" w:rsidRDefault="00C35165" w:rsidP="00C35165">
      <w:pPr>
        <w:pStyle w:val="ListParagraph"/>
        <w:ind w:left="360"/>
        <w:rPr>
          <w:b/>
        </w:rPr>
      </w:pPr>
    </w:p>
    <w:p w:rsidR="00C67266" w:rsidRDefault="00C06DDD" w:rsidP="00C67266">
      <w:pPr>
        <w:pStyle w:val="ListParagraph"/>
        <w:numPr>
          <w:ilvl w:val="0"/>
          <w:numId w:val="1"/>
        </w:numPr>
      </w:pPr>
      <w:r w:rsidRPr="00EE313C">
        <w:rPr>
          <w:b/>
        </w:rPr>
        <w:t>C</w:t>
      </w:r>
      <w:r w:rsidR="00C35165" w:rsidRPr="00EE313C">
        <w:rPr>
          <w:b/>
        </w:rPr>
        <w:t>ontinuing engagement with industry</w:t>
      </w:r>
      <w:r w:rsidRPr="00EE313C">
        <w:rPr>
          <w:b/>
        </w:rPr>
        <w:t>:</w:t>
      </w:r>
      <w:r w:rsidR="00C35165" w:rsidRPr="00EE313C">
        <w:rPr>
          <w:b/>
        </w:rPr>
        <w:t xml:space="preserve"> </w:t>
      </w:r>
      <w:r w:rsidR="00C67266">
        <w:t>T</w:t>
      </w:r>
      <w:r w:rsidR="00EE313C">
        <w:t>he energy system is undergoing a period of transformative change</w:t>
      </w:r>
      <w:r w:rsidR="00EE313C">
        <w:t xml:space="preserve"> with the </w:t>
      </w:r>
      <w:r w:rsidR="00001E57" w:rsidRPr="00C35165">
        <w:t>energy sector becoming more diverse, and the number of participants who can add value is multiplying.</w:t>
      </w:r>
      <w:r w:rsidR="00C35165">
        <w:t xml:space="preserve"> </w:t>
      </w:r>
      <w:r w:rsidR="00EE313C">
        <w:t>For many service providers, it is too early to tell which contracting strategies will be required and w</w:t>
      </w:r>
      <w:r w:rsidR="00EE313C">
        <w:t>e expect</w:t>
      </w:r>
      <w:r w:rsidR="00EE313C">
        <w:t xml:space="preserve"> that </w:t>
      </w:r>
      <w:r w:rsidR="00EE313C">
        <w:t xml:space="preserve">both system requirements and the make-up of service providers </w:t>
      </w:r>
      <w:r w:rsidR="00EE313C">
        <w:t xml:space="preserve">will continue to evolve. </w:t>
      </w:r>
    </w:p>
    <w:p w:rsidR="00C67266" w:rsidRDefault="00C67266" w:rsidP="00C67266">
      <w:pPr>
        <w:pStyle w:val="ListParagraph"/>
      </w:pPr>
    </w:p>
    <w:p w:rsidR="00001E57" w:rsidRDefault="00EE313C" w:rsidP="00C67266">
      <w:pPr>
        <w:pStyle w:val="ListParagraph"/>
        <w:ind w:left="360"/>
      </w:pPr>
      <w:r>
        <w:t>I</w:t>
      </w:r>
      <w:r>
        <w:t xml:space="preserve">t is important that </w:t>
      </w:r>
      <w:r w:rsidR="00C35165">
        <w:t xml:space="preserve">the System Needs and Product Strategy </w:t>
      </w:r>
      <w:r>
        <w:t>marks the beginning of a</w:t>
      </w:r>
      <w:r w:rsidR="00375ACE">
        <w:t xml:space="preserve"> </w:t>
      </w:r>
      <w:r w:rsidR="00B333F1">
        <w:t>process where</w:t>
      </w:r>
      <w:r w:rsidR="00375ACE">
        <w:t xml:space="preserve"> </w:t>
      </w:r>
      <w:r w:rsidR="00375ACE">
        <w:t>more detail, furth</w:t>
      </w:r>
      <w:r w:rsidR="00C67266">
        <w:t>er engagement and discussion will inform the changes that will best meet the needs of consumers and industry.</w:t>
      </w:r>
    </w:p>
    <w:p w:rsidR="00C35165" w:rsidRDefault="00C35165" w:rsidP="00C35165">
      <w:pPr>
        <w:pStyle w:val="ListParagraph"/>
      </w:pPr>
    </w:p>
    <w:p w:rsidR="00EE313C" w:rsidRDefault="00EE313C" w:rsidP="00C35165">
      <w:pPr>
        <w:pStyle w:val="ListParagraph"/>
      </w:pPr>
    </w:p>
    <w:p w:rsidR="00C35165" w:rsidRDefault="00C35165" w:rsidP="00C35165"/>
    <w:p w:rsidR="00662CEB" w:rsidRDefault="00662CEB" w:rsidP="00001E57">
      <w:pPr>
        <w:pStyle w:val="ListParagraph"/>
        <w:ind w:left="360"/>
      </w:pPr>
    </w:p>
    <w:p w:rsidR="00735462" w:rsidRDefault="00735462" w:rsidP="00001E57">
      <w:pPr>
        <w:pStyle w:val="ListParagraph"/>
        <w:ind w:left="360"/>
      </w:pPr>
    </w:p>
    <w:p w:rsidR="00C67266" w:rsidRDefault="00EE313C" w:rsidP="00B239BF">
      <w:pPr>
        <w:pStyle w:val="ListParagraph"/>
        <w:numPr>
          <w:ilvl w:val="0"/>
          <w:numId w:val="1"/>
        </w:numPr>
        <w:rPr>
          <w:rFonts w:cs="Arial"/>
        </w:rPr>
      </w:pPr>
      <w:r w:rsidRPr="00EE313C">
        <w:rPr>
          <w:b/>
        </w:rPr>
        <w:t xml:space="preserve">Engaging with wider energy market reform: </w:t>
      </w:r>
      <w:r>
        <w:t>It is important to recognise that anci</w:t>
      </w:r>
      <w:r w:rsidR="00CE36F0" w:rsidRPr="00EE313C">
        <w:rPr>
          <w:rFonts w:cs="Arial"/>
        </w:rPr>
        <w:t>llary service reform is part o</w:t>
      </w:r>
      <w:r>
        <w:rPr>
          <w:rFonts w:cs="Arial"/>
        </w:rPr>
        <w:t>f a wider set of system changes. I</w:t>
      </w:r>
      <w:r w:rsidR="00CE36F0" w:rsidRPr="00EE313C">
        <w:rPr>
          <w:rFonts w:cs="Arial"/>
        </w:rPr>
        <w:t>t is crucial that</w:t>
      </w:r>
      <w:r>
        <w:rPr>
          <w:rFonts w:cs="Arial"/>
        </w:rPr>
        <w:t xml:space="preserve"> any changes </w:t>
      </w:r>
      <w:r w:rsidR="00CE36F0" w:rsidRPr="00EE313C">
        <w:rPr>
          <w:rFonts w:cs="Arial"/>
        </w:rPr>
        <w:t>are designed and implemented in conjunction with other ongoing work streams.</w:t>
      </w:r>
    </w:p>
    <w:p w:rsidR="00C67266" w:rsidRDefault="00C67266" w:rsidP="00C67266">
      <w:pPr>
        <w:pStyle w:val="ListParagraph"/>
        <w:ind w:left="360"/>
        <w:rPr>
          <w:b/>
        </w:rPr>
      </w:pPr>
    </w:p>
    <w:p w:rsidR="00B239BF" w:rsidRDefault="00CE36F0" w:rsidP="00C67266">
      <w:pPr>
        <w:pStyle w:val="ListParagraph"/>
        <w:ind w:left="360"/>
        <w:rPr>
          <w:rFonts w:cs="Arial"/>
        </w:rPr>
      </w:pPr>
      <w:r w:rsidRPr="00EE313C">
        <w:rPr>
          <w:rFonts w:cs="Arial"/>
        </w:rPr>
        <w:t>For example, consideration ought to be given to curr</w:t>
      </w:r>
      <w:r w:rsidR="00C67266">
        <w:rPr>
          <w:rFonts w:cs="Arial"/>
        </w:rPr>
        <w:t xml:space="preserve">ent reviews of network charging, </w:t>
      </w:r>
      <w:r w:rsidR="00EE313C">
        <w:rPr>
          <w:rFonts w:cs="Arial"/>
        </w:rPr>
        <w:t>the</w:t>
      </w:r>
      <w:r w:rsidR="00C67266">
        <w:rPr>
          <w:rFonts w:cs="Arial"/>
        </w:rPr>
        <w:t xml:space="preserve"> anticipated DNO-DSO shift</w:t>
      </w:r>
      <w:r w:rsidR="00EE313C">
        <w:rPr>
          <w:rFonts w:cs="Arial"/>
        </w:rPr>
        <w:t xml:space="preserve"> and reform within the balancing and settlement code – such as P355, which is seeking to </w:t>
      </w:r>
      <w:r w:rsidR="00375ACE">
        <w:rPr>
          <w:rFonts w:cs="Arial"/>
        </w:rPr>
        <w:t xml:space="preserve">open the balancing market to smaller generators. </w:t>
      </w:r>
    </w:p>
    <w:p w:rsidR="00B239BF" w:rsidRDefault="00B239BF" w:rsidP="00B239BF">
      <w:pPr>
        <w:pStyle w:val="ListParagraph"/>
        <w:ind w:left="360"/>
        <w:rPr>
          <w:b/>
        </w:rPr>
      </w:pPr>
    </w:p>
    <w:p w:rsidR="00B239BF" w:rsidRPr="00B239BF" w:rsidRDefault="00B239BF" w:rsidP="00B239BF">
      <w:pPr>
        <w:pStyle w:val="ListParagraph"/>
        <w:ind w:left="360"/>
        <w:rPr>
          <w:rFonts w:cs="Arial"/>
        </w:rPr>
      </w:pPr>
      <w:r w:rsidRPr="00B239BF">
        <w:rPr>
          <w:rFonts w:cs="Arial"/>
        </w:rPr>
        <w:t xml:space="preserve">At the same time it is important to acknowledge that other national grid work streams such as project phoenix are looking at a much broader suite of system </w:t>
      </w:r>
      <w:r w:rsidR="006B3456" w:rsidRPr="00B239BF">
        <w:rPr>
          <w:rFonts w:cs="Arial"/>
        </w:rPr>
        <w:t>services</w:t>
      </w:r>
      <w:r w:rsidRPr="00B239BF">
        <w:rPr>
          <w:rFonts w:cs="Arial"/>
        </w:rPr>
        <w:t>- including h</w:t>
      </w:r>
      <w:r>
        <w:rPr>
          <w:rFonts w:cs="Arial"/>
        </w:rPr>
        <w:t>armonics and fault ride through. W</w:t>
      </w:r>
      <w:r w:rsidRPr="00B239BF">
        <w:rPr>
          <w:rFonts w:cs="Arial"/>
        </w:rPr>
        <w:t>hile these may be a lower priority it m</w:t>
      </w:r>
      <w:r>
        <w:t xml:space="preserve">ay be helpful to at least open up the discussion around these </w:t>
      </w:r>
      <w:r>
        <w:t xml:space="preserve">issues through the </w:t>
      </w:r>
      <w:proofErr w:type="spellStart"/>
      <w:r>
        <w:t>SNaPS</w:t>
      </w:r>
      <w:proofErr w:type="spellEnd"/>
      <w:r>
        <w:t xml:space="preserve"> consultation. </w:t>
      </w:r>
      <w:r>
        <w:t xml:space="preserve"> </w:t>
      </w:r>
    </w:p>
    <w:p w:rsidR="00375ACE" w:rsidRDefault="00375ACE" w:rsidP="00B239BF">
      <w:pPr>
        <w:pStyle w:val="ListParagraph"/>
        <w:ind w:left="360"/>
        <w:rPr>
          <w:rFonts w:cs="Arial"/>
        </w:rPr>
      </w:pPr>
    </w:p>
    <w:p w:rsidR="00601B39" w:rsidRPr="00601B39" w:rsidRDefault="00375ACE" w:rsidP="00262158">
      <w:pPr>
        <w:pStyle w:val="ListParagraph"/>
        <w:numPr>
          <w:ilvl w:val="0"/>
          <w:numId w:val="1"/>
        </w:numPr>
        <w:rPr>
          <w:rFonts w:cs="Arial"/>
        </w:rPr>
      </w:pPr>
      <w:r w:rsidRPr="00601B39">
        <w:rPr>
          <w:b/>
        </w:rPr>
        <w:t>Acknowledging</w:t>
      </w:r>
      <w:r w:rsidR="00B239BF">
        <w:rPr>
          <w:b/>
        </w:rPr>
        <w:t xml:space="preserve"> different investment n</w:t>
      </w:r>
      <w:r w:rsidRPr="00601B39">
        <w:rPr>
          <w:b/>
        </w:rPr>
        <w:t>eed</w:t>
      </w:r>
      <w:r w:rsidR="00B239BF">
        <w:rPr>
          <w:b/>
        </w:rPr>
        <w:t>s</w:t>
      </w:r>
      <w:r w:rsidRPr="00601B39">
        <w:rPr>
          <w:b/>
        </w:rPr>
        <w:t>:</w:t>
      </w:r>
      <w:r w:rsidR="00601B39" w:rsidRPr="00601B39">
        <w:rPr>
          <w:b/>
        </w:rPr>
        <w:t xml:space="preserve"> </w:t>
      </w:r>
      <w:r w:rsidR="00601B39" w:rsidRPr="00601B39">
        <w:t>It is important to recognise</w:t>
      </w:r>
      <w:r w:rsidR="00601B39">
        <w:t xml:space="preserve"> </w:t>
      </w:r>
      <w:r w:rsidR="00601B39" w:rsidRPr="00601B39">
        <w:t xml:space="preserve">what was previously a tertiary market, will now be used to underpin investment in a broad range of technologies. </w:t>
      </w:r>
    </w:p>
    <w:p w:rsidR="00601B39" w:rsidRDefault="00601B39" w:rsidP="00601B39">
      <w:pPr>
        <w:pStyle w:val="ListParagraph"/>
        <w:ind w:left="360"/>
        <w:rPr>
          <w:rFonts w:cs="Arial"/>
        </w:rPr>
      </w:pPr>
    </w:p>
    <w:p w:rsidR="00601B39" w:rsidRDefault="00262158" w:rsidP="00601B39">
      <w:pPr>
        <w:pStyle w:val="ListParagraph"/>
        <w:ind w:left="360"/>
        <w:rPr>
          <w:rFonts w:cs="Arial"/>
        </w:rPr>
      </w:pPr>
      <w:r w:rsidRPr="00601B39">
        <w:rPr>
          <w:rFonts w:cs="Arial"/>
        </w:rPr>
        <w:t>Existing and new renewable assets can (and already) provide a number of system services, such as frequency response, reactive power and inter</w:t>
      </w:r>
      <w:r w:rsidR="0088429F" w:rsidRPr="00601B39">
        <w:rPr>
          <w:rFonts w:cs="Arial"/>
        </w:rPr>
        <w:t>-</w:t>
      </w:r>
      <w:r w:rsidRPr="00601B39">
        <w:rPr>
          <w:rFonts w:cs="Arial"/>
        </w:rPr>
        <w:t>trip provision.</w:t>
      </w:r>
      <w:r w:rsidR="00601B39">
        <w:rPr>
          <w:rFonts w:cs="Arial"/>
        </w:rPr>
        <w:t xml:space="preserve"> However new onshore wind or solar developments will have no subsidy </w:t>
      </w:r>
      <w:r w:rsidR="00C67266">
        <w:rPr>
          <w:rFonts w:cs="Arial"/>
        </w:rPr>
        <w:t xml:space="preserve">to recover in pricing </w:t>
      </w:r>
      <w:r w:rsidR="00601B39">
        <w:rPr>
          <w:rFonts w:cs="Arial"/>
        </w:rPr>
        <w:t xml:space="preserve"> </w:t>
      </w:r>
      <w:r w:rsidR="00B333F1">
        <w:rPr>
          <w:rFonts w:cs="Arial"/>
        </w:rPr>
        <w:t>making</w:t>
      </w:r>
      <w:r w:rsidR="00601B39">
        <w:rPr>
          <w:rFonts w:cs="Arial"/>
        </w:rPr>
        <w:t xml:space="preserve"> them more competitive in these markets, and therefore making this revenue a greater part of the overall business case for development. </w:t>
      </w:r>
    </w:p>
    <w:p w:rsidR="00262158" w:rsidRPr="00601B39" w:rsidRDefault="00262158" w:rsidP="00601B39">
      <w:pPr>
        <w:pStyle w:val="ListParagraph"/>
        <w:ind w:left="360"/>
        <w:rPr>
          <w:rFonts w:cs="Arial"/>
        </w:rPr>
      </w:pPr>
      <w:r w:rsidRPr="00601B39">
        <w:rPr>
          <w:rFonts w:cs="Arial"/>
        </w:rPr>
        <w:t xml:space="preserve"> </w:t>
      </w:r>
    </w:p>
    <w:p w:rsidR="00B239BF" w:rsidRDefault="00B239BF" w:rsidP="00375ACE">
      <w:pPr>
        <w:pStyle w:val="ListParagraph"/>
        <w:ind w:left="360"/>
        <w:rPr>
          <w:rFonts w:cs="Arial"/>
        </w:rPr>
      </w:pPr>
      <w:r>
        <w:rPr>
          <w:rFonts w:cs="Arial"/>
        </w:rPr>
        <w:t xml:space="preserve">At the same time, some </w:t>
      </w:r>
      <w:r>
        <w:rPr>
          <w:rFonts w:cs="Arial"/>
        </w:rPr>
        <w:t xml:space="preserve">service providers </w:t>
      </w:r>
      <w:r>
        <w:rPr>
          <w:rFonts w:cs="Arial"/>
        </w:rPr>
        <w:t xml:space="preserve">will </w:t>
      </w:r>
      <w:r>
        <w:rPr>
          <w:rFonts w:cs="Arial"/>
        </w:rPr>
        <w:t xml:space="preserve">operate under different sets of commercial drivers. For example, storage providers from battery storage to pumped hydro storage may look at the service market as core revenue. </w:t>
      </w:r>
    </w:p>
    <w:p w:rsidR="00B239BF" w:rsidRDefault="00B239BF" w:rsidP="00375ACE">
      <w:pPr>
        <w:pStyle w:val="ListParagraph"/>
        <w:ind w:left="360"/>
        <w:rPr>
          <w:rFonts w:cs="Arial"/>
        </w:rPr>
      </w:pPr>
    </w:p>
    <w:p w:rsidR="00601B39" w:rsidRDefault="00B239BF" w:rsidP="00375ACE">
      <w:pPr>
        <w:pStyle w:val="ListParagraph"/>
        <w:ind w:left="360"/>
        <w:rPr>
          <w:rFonts w:cs="Arial"/>
        </w:rPr>
      </w:pPr>
      <w:r>
        <w:rPr>
          <w:rFonts w:cs="Arial"/>
        </w:rPr>
        <w:t xml:space="preserve">Revenue stacks need to attract cost effective debt and equity finance to ensure that the lowest cost service provision is procured. This means designing service models with investors and consumers in mind, reflecting the reality that the financial characteristics of both new and existing assets are different from those in the past. </w:t>
      </w:r>
      <w:r w:rsidR="00262158">
        <w:rPr>
          <w:rFonts w:cs="Arial"/>
        </w:rPr>
        <w:t xml:space="preserve"> </w:t>
      </w:r>
      <w:r>
        <w:rPr>
          <w:rFonts w:cs="Arial"/>
        </w:rPr>
        <w:t xml:space="preserve"> </w:t>
      </w:r>
    </w:p>
    <w:p w:rsidR="00601B39" w:rsidRDefault="00601B39" w:rsidP="00375ACE">
      <w:pPr>
        <w:pStyle w:val="ListParagraph"/>
        <w:ind w:left="360"/>
        <w:rPr>
          <w:rFonts w:cs="Arial"/>
        </w:rPr>
      </w:pPr>
    </w:p>
    <w:p w:rsidR="00C06DDD" w:rsidRDefault="005C4C87" w:rsidP="006B1D4E">
      <w:pPr>
        <w:rPr>
          <w:rFonts w:ascii="Arial" w:hAnsi="Arial" w:cs="Arial"/>
        </w:rPr>
      </w:pPr>
      <w:r>
        <w:rPr>
          <w:rFonts w:ascii="Arial" w:hAnsi="Arial" w:cs="Arial"/>
        </w:rPr>
        <w:t xml:space="preserve">Our response to a number of the key questions from the consultation are set out below and we would be happy to provide any further information where required. </w:t>
      </w:r>
    </w:p>
    <w:p w:rsidR="005A74FB" w:rsidRPr="00B55AA5" w:rsidRDefault="005A74FB" w:rsidP="005A74FB">
      <w:pPr>
        <w:rPr>
          <w:rFonts w:ascii="Arial" w:hAnsi="Arial" w:cs="Arial"/>
          <w:sz w:val="24"/>
          <w:szCs w:val="24"/>
        </w:rPr>
      </w:pPr>
      <w:r w:rsidRPr="00B55AA5">
        <w:rPr>
          <w:rFonts w:ascii="Arial" w:hAnsi="Arial" w:cs="Arial"/>
          <w:sz w:val="24"/>
          <w:szCs w:val="24"/>
        </w:rPr>
        <w:t>Yours Sincerely,</w:t>
      </w:r>
    </w:p>
    <w:p w:rsidR="005A74FB" w:rsidRPr="00FE00A9" w:rsidRDefault="000356D8" w:rsidP="005A74FB">
      <w:pPr>
        <w:rPr>
          <w:rFonts w:ascii="Arial" w:hAnsi="Arial" w:cs="Arial"/>
          <w:sz w:val="24"/>
          <w:szCs w:val="24"/>
        </w:rPr>
      </w:pPr>
      <w:sdt>
        <w:sdtPr>
          <w:rPr>
            <w:rFonts w:ascii="Arial" w:hAnsi="Arial" w:cs="Arial"/>
            <w:sz w:val="24"/>
            <w:szCs w:val="24"/>
          </w:rPr>
          <w:alias w:val="Please select your name"/>
          <w:tag w:val="Please select your name"/>
          <w:id w:val="1871874556"/>
          <w:placeholder>
            <w:docPart w:val="17619F17E10C4146B68C9BE510BFFA41"/>
          </w:placeholder>
          <w:comboBox>
            <w:listItem w:displayText="Niall Stuart" w:value="Niall Stuart"/>
            <w:listItem w:displayText="Jenny Hogan" w:value="Jenny Hogan"/>
            <w:listItem w:displayText="Daniel Borisewitz" w:value="Daniel Borisewitz"/>
            <w:listItem w:displayText="Lindsay Roberts" w:value="Lindsay Roberts"/>
            <w:listItem w:displayText="Catherine Birkbeck" w:value="Catherine Birkbeck"/>
            <w:listItem w:displayText="Joss Blamire" w:value="Joss Blamire"/>
            <w:listItem w:displayText="Michael Rieley" w:value="Michael Rieley"/>
            <w:listItem w:displayText="Jillian McKenna" w:value="Jillian McKenna"/>
            <w:listItem w:displayText="Olivia Connolly" w:value="Olivia Connolly"/>
            <w:listItem w:displayText="David Foster" w:value="David Foster"/>
            <w:listItem w:displayText="Christopher Graham" w:value="Christopher Graham"/>
            <w:listItem w:displayText="Lorraine Wyllie" w:value="Lorraine Wyllie"/>
            <w:listItem w:displayText="Pamela Barnes" w:value="Pamela Barnes"/>
            <w:listItem w:displayText="Carol O'Donnell" w:value="Carol O'Donnell"/>
            <w:listItem w:displayText="Rachelle Money" w:value="Rachelle Money"/>
            <w:listItem w:displayText="Gavin Donoghue" w:value="Gavin Donoghue"/>
          </w:comboBox>
        </w:sdtPr>
        <w:sdtEndPr/>
        <w:sdtContent>
          <w:r w:rsidR="005C4C87">
            <w:rPr>
              <w:rFonts w:ascii="Arial" w:hAnsi="Arial" w:cs="Arial"/>
              <w:sz w:val="24"/>
              <w:szCs w:val="24"/>
            </w:rPr>
            <w:t>Michael Rieley</w:t>
          </w:r>
        </w:sdtContent>
      </w:sdt>
      <w:r w:rsidR="005A74FB" w:rsidRPr="00FE00A9">
        <w:rPr>
          <w:rFonts w:ascii="Arial" w:hAnsi="Arial" w:cs="Arial"/>
          <w:sz w:val="24"/>
          <w:szCs w:val="24"/>
        </w:rPr>
        <w:br/>
      </w:r>
      <w:sdt>
        <w:sdtPr>
          <w:rPr>
            <w:rFonts w:ascii="Arial" w:hAnsi="Arial" w:cs="Arial"/>
            <w:b/>
            <w:sz w:val="24"/>
            <w:szCs w:val="24"/>
          </w:rPr>
          <w:alias w:val="Please select your job title"/>
          <w:tag w:val="Please select your job title"/>
          <w:id w:val="839430638"/>
          <w:placeholder>
            <w:docPart w:val="17619F17E10C4146B68C9BE510BFFA41"/>
          </w:placeholder>
          <w:comboBox>
            <w:listItem w:displayText="Administration Officer" w:value="Administration Officer"/>
            <w:listItem w:displayText="Chief Executive" w:value="Chief Executive"/>
            <w:listItem w:displayText="Director of Communications" w:value="Director of Communications"/>
            <w:listItem w:displayText="Director of Marketing" w:value="Director of Marketing"/>
            <w:listItem w:displayText="Director of Policy" w:value="Director of Policy"/>
            <w:listItem w:displayText="External Relations Manager" w:value="External Relations Manager"/>
            <w:listItem w:displayText="Membership Manager" w:value="Membership Manager"/>
            <w:listItem w:displayText="Marketing Officer" w:value="Marketing Officer"/>
            <w:listItem w:displayText="Office Manager" w:value="Office Manager"/>
            <w:listItem w:displayText="Policy Manager: Grid &amp; Markets" w:value="Policy Manager: Grid &amp; Markets"/>
            <w:listItem w:displayText="Policy Manager: Heat, Micro &amp; Bioenergy" w:value="Policy Manager: Heat, Micro &amp; Bioenergy"/>
            <w:listItem w:displayText="Policy Manager: Offshore Wind, Wave &amp; Tidal " w:value="Policy Manager: Offshore Wind, Wave &amp; Tidal "/>
            <w:listItem w:displayText="Policy Manager: Onshore Wind &amp; Hydro" w:value="Policy Manager: Onshore Wind &amp; Hydro"/>
            <w:listItem w:displayText="Policy Officer" w:value="Policy Officer"/>
            <w:listItem w:displayText="Events Manager" w:value="Events Manager"/>
          </w:comboBox>
        </w:sdtPr>
        <w:sdtEndPr/>
        <w:sdtContent>
          <w:r w:rsidR="005C4C87">
            <w:rPr>
              <w:rFonts w:ascii="Arial" w:hAnsi="Arial" w:cs="Arial"/>
              <w:b/>
              <w:sz w:val="24"/>
              <w:szCs w:val="24"/>
            </w:rPr>
            <w:t>Senior Policy Manager – Markets and Systems</w:t>
          </w:r>
        </w:sdtContent>
      </w:sdt>
    </w:p>
    <w:p w:rsidR="00F5167B" w:rsidRDefault="00F5167B" w:rsidP="00C33A6E">
      <w:pPr>
        <w:rPr>
          <w:rFonts w:ascii="Arial" w:hAnsi="Arial" w:cs="Arial"/>
          <w:b/>
          <w:sz w:val="24"/>
          <w:szCs w:val="24"/>
        </w:rPr>
      </w:pPr>
    </w:p>
    <w:p w:rsidR="00975FD8" w:rsidRDefault="00975FD8" w:rsidP="00C33A6E">
      <w:pPr>
        <w:rPr>
          <w:rFonts w:ascii="Arial" w:hAnsi="Arial" w:cs="Arial"/>
          <w:b/>
          <w:sz w:val="24"/>
          <w:szCs w:val="24"/>
        </w:rPr>
        <w:sectPr w:rsidR="00975FD8" w:rsidSect="0074430F">
          <w:headerReference w:type="first" r:id="rId9"/>
          <w:footerReference w:type="first" r:id="rId10"/>
          <w:pgSz w:w="11906" w:h="16838"/>
          <w:pgMar w:top="2797" w:right="1416" w:bottom="720" w:left="1418" w:header="708" w:footer="1537" w:gutter="0"/>
          <w:cols w:space="708"/>
          <w:titlePg/>
          <w:docGrid w:linePitch="360"/>
        </w:sectPr>
      </w:pPr>
    </w:p>
    <w:p w:rsidR="00C33A6E" w:rsidRDefault="000C6D5A" w:rsidP="00C33A6E">
      <w:pPr>
        <w:rPr>
          <w:rFonts w:ascii="Arial" w:hAnsi="Arial" w:cs="Arial"/>
          <w:b/>
          <w:sz w:val="24"/>
          <w:szCs w:val="24"/>
        </w:rPr>
      </w:pPr>
      <w:r>
        <w:rPr>
          <w:rFonts w:ascii="Arial" w:hAnsi="Arial" w:cs="Arial"/>
          <w:b/>
          <w:sz w:val="24"/>
          <w:szCs w:val="24"/>
        </w:rPr>
        <w:lastRenderedPageBreak/>
        <w:t>Consultation Questions</w:t>
      </w:r>
    </w:p>
    <w:p w:rsidR="000C6D5A" w:rsidRPr="000C6D5A" w:rsidRDefault="000C6D5A" w:rsidP="000C6D5A">
      <w:pPr>
        <w:rPr>
          <w:rFonts w:ascii="Arial" w:hAnsi="Arial" w:cs="Arial"/>
          <w:b/>
        </w:rPr>
      </w:pPr>
      <w:r w:rsidRPr="000C6D5A">
        <w:rPr>
          <w:rFonts w:ascii="Arial" w:hAnsi="Arial" w:cs="Arial"/>
          <w:b/>
        </w:rPr>
        <w:t xml:space="preserve">Q1: Do you agree with the summary of the issues identified around balancing services markets? If not, what additional concerns do you have? </w:t>
      </w:r>
    </w:p>
    <w:p w:rsidR="000C6D5A" w:rsidRDefault="000C6D5A" w:rsidP="000C6D5A">
      <w:pPr>
        <w:rPr>
          <w:rFonts w:ascii="Arial" w:hAnsi="Arial" w:cs="Arial"/>
        </w:rPr>
      </w:pPr>
      <w:r>
        <w:rPr>
          <w:rFonts w:ascii="Arial" w:hAnsi="Arial" w:cs="Arial"/>
        </w:rPr>
        <w:t xml:space="preserve">We agree that the market is currently too complex and that this likely creates a barrier to entry for service providers. </w:t>
      </w:r>
      <w:r w:rsidR="00F365B9">
        <w:rPr>
          <w:rFonts w:ascii="Arial" w:hAnsi="Arial" w:cs="Arial"/>
        </w:rPr>
        <w:t xml:space="preserve">It is crucial that reform simplifies and increases transparency in service provision, allowing existing technologies (such as wind, solar, hydro and pumped hydro storage) as well as new market entrants (including battery storage) to come forward. </w:t>
      </w:r>
    </w:p>
    <w:p w:rsidR="000C6D5A" w:rsidRPr="000C6D5A" w:rsidRDefault="000C6D5A" w:rsidP="000C6D5A">
      <w:pPr>
        <w:rPr>
          <w:rFonts w:ascii="Arial" w:hAnsi="Arial" w:cs="Arial"/>
          <w:b/>
        </w:rPr>
      </w:pPr>
      <w:r w:rsidRPr="000C6D5A">
        <w:rPr>
          <w:rFonts w:ascii="Arial" w:hAnsi="Arial" w:cs="Arial"/>
          <w:b/>
        </w:rPr>
        <w:t>Q2: Do you agree with our approach to resolving the issues identified through simplification</w:t>
      </w:r>
      <w:r w:rsidR="008A35C6">
        <w:rPr>
          <w:rFonts w:ascii="Arial" w:hAnsi="Arial" w:cs="Arial"/>
          <w:b/>
        </w:rPr>
        <w:t xml:space="preserve"> of the product suite? I</w:t>
      </w:r>
      <w:r w:rsidRPr="000C6D5A">
        <w:rPr>
          <w:rFonts w:ascii="Arial" w:hAnsi="Arial" w:cs="Arial"/>
          <w:b/>
        </w:rPr>
        <w:t xml:space="preserve">f not, what alternative approach should be taken? </w:t>
      </w:r>
    </w:p>
    <w:p w:rsidR="000C6D5A" w:rsidRDefault="008A35C6" w:rsidP="000C6D5A">
      <w:pPr>
        <w:rPr>
          <w:rFonts w:ascii="Arial" w:hAnsi="Arial" w:cs="Arial"/>
        </w:rPr>
      </w:pPr>
      <w:r>
        <w:rPr>
          <w:rFonts w:ascii="Arial" w:hAnsi="Arial" w:cs="Arial"/>
        </w:rPr>
        <w:t xml:space="preserve">We support the move to simplify the suit of products, but caution that the needs case for products is likely to change over time. It is therefore crucial that </w:t>
      </w:r>
      <w:r w:rsidR="00262158">
        <w:rPr>
          <w:rFonts w:ascii="Arial" w:hAnsi="Arial" w:cs="Arial"/>
        </w:rPr>
        <w:t>products</w:t>
      </w:r>
      <w:r>
        <w:rPr>
          <w:rFonts w:ascii="Arial" w:hAnsi="Arial" w:cs="Arial"/>
        </w:rPr>
        <w:t xml:space="preserve"> are </w:t>
      </w:r>
      <w:r w:rsidR="00EE6E51">
        <w:rPr>
          <w:rFonts w:ascii="Arial" w:hAnsi="Arial" w:cs="Arial"/>
        </w:rPr>
        <w:t>sufficiently robust against future changes in technology and would encourage regular engagement</w:t>
      </w:r>
      <w:r>
        <w:rPr>
          <w:rFonts w:ascii="Arial" w:hAnsi="Arial" w:cs="Arial"/>
        </w:rPr>
        <w:t xml:space="preserve"> with industry, to ensure the process can evolve to account for changes in our energy system. </w:t>
      </w:r>
    </w:p>
    <w:p w:rsidR="008A35C6" w:rsidRDefault="008A35C6" w:rsidP="000C6D5A">
      <w:pPr>
        <w:rPr>
          <w:rFonts w:ascii="Arial" w:hAnsi="Arial" w:cs="Arial"/>
        </w:rPr>
      </w:pPr>
      <w:r>
        <w:rPr>
          <w:rFonts w:ascii="Arial" w:hAnsi="Arial" w:cs="Arial"/>
        </w:rPr>
        <w:t>Simplification should facilitate entry to the market, not create barriers f</w:t>
      </w:r>
      <w:r w:rsidR="00321754">
        <w:rPr>
          <w:rFonts w:ascii="Arial" w:hAnsi="Arial" w:cs="Arial"/>
        </w:rPr>
        <w:t>or potential participants. Changes should be sensitive to ‘revenue stacking’</w:t>
      </w:r>
      <w:r w:rsidR="00A53401">
        <w:rPr>
          <w:rStyle w:val="FootnoteReference"/>
          <w:rFonts w:ascii="Arial" w:hAnsi="Arial" w:cs="Arial"/>
        </w:rPr>
        <w:footnoteReference w:id="1"/>
      </w:r>
      <w:r w:rsidR="00321754">
        <w:rPr>
          <w:rFonts w:ascii="Arial" w:hAnsi="Arial" w:cs="Arial"/>
        </w:rPr>
        <w:t xml:space="preserve"> business models and system change. Again, an open dialogue with industry is crucial. </w:t>
      </w:r>
    </w:p>
    <w:p w:rsidR="000C6D5A" w:rsidRPr="000C6D5A" w:rsidRDefault="000C6D5A" w:rsidP="000C6D5A">
      <w:pPr>
        <w:rPr>
          <w:rFonts w:ascii="Arial" w:hAnsi="Arial" w:cs="Arial"/>
          <w:b/>
        </w:rPr>
      </w:pPr>
      <w:r w:rsidRPr="000C6D5A">
        <w:rPr>
          <w:rFonts w:ascii="Arial" w:hAnsi="Arial" w:cs="Arial"/>
          <w:b/>
        </w:rPr>
        <w:t xml:space="preserve">Q3: What are your views on the possible approaches to standardisation of the existing markets? </w:t>
      </w:r>
    </w:p>
    <w:p w:rsidR="00561A70" w:rsidRDefault="00561A70" w:rsidP="00561A70">
      <w:pPr>
        <w:pStyle w:val="Default"/>
        <w:rPr>
          <w:sz w:val="22"/>
          <w:szCs w:val="22"/>
        </w:rPr>
      </w:pPr>
      <w:r>
        <w:rPr>
          <w:sz w:val="22"/>
          <w:szCs w:val="22"/>
        </w:rPr>
        <w:t>It is important to note that a range of technologies including existing generation plant, new battery technologies, pumped storage and demand side response are all able to offer flexibility services. Accessing and realising the benefit</w:t>
      </w:r>
      <w:r w:rsidR="002974B1">
        <w:rPr>
          <w:sz w:val="22"/>
          <w:szCs w:val="22"/>
        </w:rPr>
        <w:t>s</w:t>
      </w:r>
      <w:r>
        <w:rPr>
          <w:sz w:val="22"/>
          <w:szCs w:val="22"/>
        </w:rPr>
        <w:t xml:space="preserve"> of these services will require a balance of longer term reform to bring regulation and commercial arrangements in line with a modern clean energy system and short term ‘fixes’ to enable the system to move forward. </w:t>
      </w:r>
    </w:p>
    <w:p w:rsidR="00561A70" w:rsidRDefault="00561A70" w:rsidP="00561A70">
      <w:pPr>
        <w:pStyle w:val="Default"/>
        <w:rPr>
          <w:sz w:val="22"/>
          <w:szCs w:val="22"/>
        </w:rPr>
      </w:pPr>
    </w:p>
    <w:p w:rsidR="000C6D5A" w:rsidRDefault="00561A70" w:rsidP="000C6D5A">
      <w:pPr>
        <w:rPr>
          <w:rFonts w:ascii="Arial" w:hAnsi="Arial" w:cs="Arial"/>
        </w:rPr>
      </w:pPr>
      <w:r>
        <w:rPr>
          <w:rFonts w:ascii="Arial" w:hAnsi="Arial" w:cs="Arial"/>
        </w:rPr>
        <w:t xml:space="preserve">Standardisation therefore needs to be conducted in a way which simplifies the market while having a set of parameters wide enough not to preclude entry and ensure a level playing field. </w:t>
      </w:r>
    </w:p>
    <w:p w:rsidR="000C6D5A" w:rsidRDefault="000C6D5A" w:rsidP="000C6D5A">
      <w:pPr>
        <w:rPr>
          <w:rFonts w:ascii="Arial" w:hAnsi="Arial" w:cs="Arial"/>
          <w:b/>
        </w:rPr>
      </w:pPr>
      <w:r w:rsidRPr="000C6D5A">
        <w:rPr>
          <w:rFonts w:ascii="Arial" w:hAnsi="Arial" w:cs="Arial"/>
          <w:b/>
        </w:rPr>
        <w:t>Q4: What effect will fixing product parameters have on transparency and competition in the markets?</w:t>
      </w:r>
    </w:p>
    <w:p w:rsidR="002974B1" w:rsidRPr="002974B1" w:rsidRDefault="002974B1" w:rsidP="000C6D5A">
      <w:pPr>
        <w:rPr>
          <w:rFonts w:ascii="Arial" w:hAnsi="Arial" w:cs="Arial"/>
        </w:rPr>
      </w:pPr>
      <w:r>
        <w:rPr>
          <w:rFonts w:ascii="Arial" w:hAnsi="Arial" w:cs="Arial"/>
        </w:rPr>
        <w:t>Setting clear parameters for services can help ensure that the market is transparent and that services don’t overlap in terms of their outputs or technical requirements for service providers. Parameters should provide clarity for market entrants, encouraging n</w:t>
      </w:r>
      <w:r w:rsidR="00EE6E51">
        <w:rPr>
          <w:rFonts w:ascii="Arial" w:hAnsi="Arial" w:cs="Arial"/>
        </w:rPr>
        <w:t xml:space="preserve">ew players to enter the market but </w:t>
      </w:r>
      <w:r>
        <w:rPr>
          <w:rFonts w:ascii="Arial" w:hAnsi="Arial" w:cs="Arial"/>
        </w:rPr>
        <w:t xml:space="preserve">not be so rigid as to restrict market entry. </w:t>
      </w:r>
    </w:p>
    <w:p w:rsidR="000C6D5A" w:rsidRDefault="000C6D5A" w:rsidP="000C6D5A">
      <w:pPr>
        <w:rPr>
          <w:rFonts w:ascii="Arial" w:hAnsi="Arial" w:cs="Arial"/>
          <w:b/>
        </w:rPr>
      </w:pPr>
      <w:r w:rsidRPr="000C6D5A">
        <w:rPr>
          <w:rFonts w:ascii="Arial" w:hAnsi="Arial" w:cs="Arial"/>
          <w:b/>
        </w:rPr>
        <w:t>Q5: What are the pr</w:t>
      </w:r>
      <w:r w:rsidR="00561A70">
        <w:rPr>
          <w:rFonts w:ascii="Arial" w:hAnsi="Arial" w:cs="Arial"/>
          <w:b/>
        </w:rPr>
        <w:t>o</w:t>
      </w:r>
      <w:r w:rsidRPr="000C6D5A">
        <w:rPr>
          <w:rFonts w:ascii="Arial" w:hAnsi="Arial" w:cs="Arial"/>
          <w:b/>
        </w:rPr>
        <w:t xml:space="preserve">s and cons of the two approaches to service improvement; single product and standardisation? </w:t>
      </w:r>
    </w:p>
    <w:p w:rsidR="002974B1" w:rsidRDefault="002974B1" w:rsidP="000C6D5A">
      <w:pPr>
        <w:rPr>
          <w:rFonts w:ascii="Arial" w:hAnsi="Arial" w:cs="Arial"/>
        </w:rPr>
      </w:pPr>
      <w:r>
        <w:rPr>
          <w:rFonts w:ascii="Arial" w:hAnsi="Arial" w:cs="Arial"/>
        </w:rPr>
        <w:t xml:space="preserve">Through encouraging market entrants, the single market approach may lead to stronger liquidity and greater competition between service providing technologies. However, transparency is difficult to achieve when procuring several services in the same market. Price signals for investment may also become less clear. </w:t>
      </w:r>
    </w:p>
    <w:p w:rsidR="000C6D5A" w:rsidRDefault="000C6D5A" w:rsidP="000C6D5A">
      <w:pPr>
        <w:rPr>
          <w:rFonts w:ascii="Arial" w:hAnsi="Arial" w:cs="Arial"/>
          <w:b/>
        </w:rPr>
      </w:pPr>
      <w:bookmarkStart w:id="0" w:name="_GoBack"/>
      <w:bookmarkEnd w:id="0"/>
      <w:r w:rsidRPr="000C6D5A">
        <w:rPr>
          <w:rFonts w:ascii="Arial" w:hAnsi="Arial" w:cs="Arial"/>
          <w:b/>
        </w:rPr>
        <w:t xml:space="preserve">Q6: Where do you see the optimum balance being between single product and standardisation? </w:t>
      </w:r>
    </w:p>
    <w:p w:rsidR="00DD229C" w:rsidRDefault="00F23FB1" w:rsidP="000C6D5A">
      <w:pPr>
        <w:rPr>
          <w:rFonts w:ascii="Arial" w:hAnsi="Arial" w:cs="Arial"/>
        </w:rPr>
      </w:pPr>
      <w:r w:rsidRPr="00F23FB1">
        <w:rPr>
          <w:rFonts w:ascii="Arial" w:hAnsi="Arial" w:cs="Arial"/>
        </w:rPr>
        <w:t>Overall it is our view that further detail is required to determine th</w:t>
      </w:r>
      <w:r>
        <w:rPr>
          <w:rFonts w:ascii="Arial" w:hAnsi="Arial" w:cs="Arial"/>
        </w:rPr>
        <w:t>e</w:t>
      </w:r>
      <w:r w:rsidRPr="00F23FB1">
        <w:rPr>
          <w:rFonts w:ascii="Arial" w:hAnsi="Arial" w:cs="Arial"/>
        </w:rPr>
        <w:t xml:space="preserve"> optima</w:t>
      </w:r>
      <w:r>
        <w:rPr>
          <w:rFonts w:ascii="Arial" w:hAnsi="Arial" w:cs="Arial"/>
        </w:rPr>
        <w:t xml:space="preserve">l balance between these options and it is important that </w:t>
      </w:r>
      <w:r w:rsidR="00DD229C" w:rsidRPr="00DD229C">
        <w:rPr>
          <w:rFonts w:ascii="Arial" w:hAnsi="Arial" w:cs="Arial"/>
        </w:rPr>
        <w:t>more detail, further engagement and discussion is required</w:t>
      </w:r>
      <w:r w:rsidR="00DD229C">
        <w:rPr>
          <w:rFonts w:ascii="Arial" w:hAnsi="Arial" w:cs="Arial"/>
        </w:rPr>
        <w:t xml:space="preserve">. </w:t>
      </w:r>
    </w:p>
    <w:p w:rsidR="00F23FB1" w:rsidRPr="00F23FB1" w:rsidRDefault="00DD229C" w:rsidP="000C6D5A">
      <w:pPr>
        <w:rPr>
          <w:rFonts w:ascii="Arial" w:hAnsi="Arial" w:cs="Arial"/>
        </w:rPr>
      </w:pPr>
      <w:r>
        <w:rPr>
          <w:rFonts w:ascii="Arial" w:hAnsi="Arial" w:cs="Arial"/>
        </w:rPr>
        <w:lastRenderedPageBreak/>
        <w:t xml:space="preserve">For example, with a single product it will be important to understand how the value of different variables will be </w:t>
      </w:r>
      <w:proofErr w:type="spellStart"/>
      <w:r>
        <w:rPr>
          <w:rFonts w:ascii="Arial" w:hAnsi="Arial" w:cs="Arial"/>
        </w:rPr>
        <w:t>assessed</w:t>
      </w:r>
      <w:proofErr w:type="spellEnd"/>
      <w:r>
        <w:rPr>
          <w:rFonts w:ascii="Arial" w:hAnsi="Arial" w:cs="Arial"/>
        </w:rPr>
        <w:t xml:space="preserve"> and communicated with the market. With a standardised product it is important to know how parameters would be set and what level of flexibility will be accepted within each parameter. </w:t>
      </w:r>
    </w:p>
    <w:p w:rsidR="000C6D5A" w:rsidRDefault="000C6D5A" w:rsidP="000C6D5A">
      <w:pPr>
        <w:rPr>
          <w:rFonts w:ascii="Arial" w:hAnsi="Arial" w:cs="Arial"/>
          <w:b/>
        </w:rPr>
      </w:pPr>
      <w:r w:rsidRPr="000C6D5A">
        <w:rPr>
          <w:rFonts w:ascii="Arial" w:hAnsi="Arial" w:cs="Arial"/>
          <w:b/>
        </w:rPr>
        <w:t>Q7: What are your views on the benefits and disadvantages of secondary tradin</w:t>
      </w:r>
      <w:r w:rsidR="00561A70">
        <w:rPr>
          <w:rFonts w:ascii="Arial" w:hAnsi="Arial" w:cs="Arial"/>
          <w:b/>
        </w:rPr>
        <w:t xml:space="preserve">g </w:t>
      </w:r>
      <w:r w:rsidRPr="000C6D5A">
        <w:rPr>
          <w:rFonts w:ascii="Arial" w:hAnsi="Arial" w:cs="Arial"/>
          <w:b/>
        </w:rPr>
        <w:t xml:space="preserve">in balancing services, and how to single product and standardisation affect secondary trading? </w:t>
      </w:r>
    </w:p>
    <w:p w:rsidR="00DD229C" w:rsidRPr="00DD229C" w:rsidRDefault="00DD229C" w:rsidP="000C6D5A">
      <w:pPr>
        <w:rPr>
          <w:rFonts w:ascii="Arial" w:hAnsi="Arial" w:cs="Arial"/>
        </w:rPr>
      </w:pPr>
      <w:r w:rsidRPr="00DD229C">
        <w:rPr>
          <w:rFonts w:ascii="Arial" w:hAnsi="Arial" w:cs="Arial"/>
        </w:rPr>
        <w:t>We would welcome further clarification from National Grid as to what secondary trading means within the context of balancing services. While secondary trading markets are generally positive, it is our view that there is insufficient detail within the current consultation to determine</w:t>
      </w:r>
      <w:r>
        <w:rPr>
          <w:rFonts w:ascii="Arial" w:hAnsi="Arial" w:cs="Arial"/>
        </w:rPr>
        <w:t xml:space="preserve"> the benefits and disadvantages. </w:t>
      </w:r>
    </w:p>
    <w:p w:rsidR="000C6D5A" w:rsidRDefault="000C6D5A" w:rsidP="000C6D5A">
      <w:pPr>
        <w:rPr>
          <w:rFonts w:ascii="Arial" w:hAnsi="Arial" w:cs="Arial"/>
          <w:b/>
        </w:rPr>
      </w:pPr>
      <w:r w:rsidRPr="000C6D5A">
        <w:rPr>
          <w:rFonts w:ascii="Arial" w:hAnsi="Arial" w:cs="Arial"/>
          <w:b/>
        </w:rPr>
        <w:t>Q8: How would the two approaches, single product or standardisation, affect the ability of providers t</w:t>
      </w:r>
      <w:r w:rsidR="00561A70">
        <w:rPr>
          <w:rFonts w:ascii="Arial" w:hAnsi="Arial" w:cs="Arial"/>
          <w:b/>
        </w:rPr>
        <w:t>o stack multiple services and h</w:t>
      </w:r>
      <w:r w:rsidRPr="000C6D5A">
        <w:rPr>
          <w:rFonts w:ascii="Arial" w:hAnsi="Arial" w:cs="Arial"/>
          <w:b/>
        </w:rPr>
        <w:t xml:space="preserve">ow important is this aspect when also considering short and long-term contract? </w:t>
      </w:r>
    </w:p>
    <w:p w:rsidR="002519BF" w:rsidRDefault="004D36F0" w:rsidP="000C6D5A">
      <w:pPr>
        <w:rPr>
          <w:rFonts w:ascii="Arial" w:hAnsi="Arial" w:cs="Arial"/>
        </w:rPr>
      </w:pPr>
      <w:r>
        <w:rPr>
          <w:rFonts w:ascii="Arial" w:hAnsi="Arial" w:cs="Arial"/>
        </w:rPr>
        <w:t>It is important to recognise that s</w:t>
      </w:r>
      <w:r w:rsidR="002519BF">
        <w:rPr>
          <w:rFonts w:ascii="Arial" w:hAnsi="Arial" w:cs="Arial"/>
        </w:rPr>
        <w:t xml:space="preserve">ervice providers operate under different sets of commercial drivers. For example, storage providers from battery storage to pumped hydro storage may look at the service market as core revenue. Revenue stacks need to attract cost effective debt and equity finance to ensure that the lowest cost service provision is procured. This means designing service models with investors and consumers in mind, reflecting the reality that the financial characteristics of both new and existing assets are different from those in the past. </w:t>
      </w:r>
    </w:p>
    <w:p w:rsidR="00F22BAA" w:rsidRDefault="004C00AC" w:rsidP="000C6D5A">
      <w:pPr>
        <w:rPr>
          <w:rFonts w:ascii="Arial" w:hAnsi="Arial" w:cs="Arial"/>
        </w:rPr>
      </w:pPr>
      <w:r>
        <w:rPr>
          <w:rFonts w:ascii="Arial" w:hAnsi="Arial" w:cs="Arial"/>
        </w:rPr>
        <w:t>Multiple barriers to stacking different revenue streams have been identified</w:t>
      </w:r>
      <w:r w:rsidR="0088429F">
        <w:rPr>
          <w:rStyle w:val="FootnoteReference"/>
          <w:rFonts w:ascii="Arial" w:hAnsi="Arial" w:cs="Arial"/>
        </w:rPr>
        <w:footnoteReference w:id="2"/>
      </w:r>
      <w:r>
        <w:rPr>
          <w:rFonts w:ascii="Arial" w:hAnsi="Arial" w:cs="Arial"/>
        </w:rPr>
        <w:t xml:space="preserve"> (as set out in some detail in response to Q10), including: the length and temporal alignment of contracts with reference to project bankability as well as revenue interface risk – the technical capacity to perform multiple contracts at the same time. </w:t>
      </w:r>
    </w:p>
    <w:p w:rsidR="004C00AC" w:rsidRPr="004C00AC" w:rsidRDefault="004C00AC" w:rsidP="000C6D5A">
      <w:pPr>
        <w:rPr>
          <w:rFonts w:ascii="Arial" w:hAnsi="Arial" w:cs="Arial"/>
        </w:rPr>
      </w:pPr>
      <w:r>
        <w:rPr>
          <w:rFonts w:ascii="Arial" w:hAnsi="Arial" w:cs="Arial"/>
        </w:rPr>
        <w:t xml:space="preserve">Clear and transparent processes are </w:t>
      </w:r>
      <w:proofErr w:type="gramStart"/>
      <w:r>
        <w:rPr>
          <w:rFonts w:ascii="Arial" w:hAnsi="Arial" w:cs="Arial"/>
        </w:rPr>
        <w:t>key</w:t>
      </w:r>
      <w:proofErr w:type="gramEnd"/>
      <w:r>
        <w:rPr>
          <w:rFonts w:ascii="Arial" w:hAnsi="Arial" w:cs="Arial"/>
        </w:rPr>
        <w:t xml:space="preserve"> to allowing providers to assess revenue staking opportunities. </w:t>
      </w:r>
    </w:p>
    <w:p w:rsidR="000C6D5A" w:rsidRDefault="000C6D5A" w:rsidP="000C6D5A">
      <w:pPr>
        <w:rPr>
          <w:rFonts w:ascii="Arial" w:hAnsi="Arial" w:cs="Arial"/>
          <w:b/>
        </w:rPr>
      </w:pPr>
      <w:r w:rsidRPr="000C6D5A">
        <w:rPr>
          <w:rFonts w:ascii="Arial" w:hAnsi="Arial" w:cs="Arial"/>
          <w:b/>
        </w:rPr>
        <w:t xml:space="preserve">Q9: What are the pros and cons of short and long-term markets particularly in respect of existing and new-build assets? </w:t>
      </w:r>
    </w:p>
    <w:p w:rsidR="00887F48" w:rsidRDefault="00887F48" w:rsidP="000C6D5A">
      <w:pPr>
        <w:rPr>
          <w:rFonts w:ascii="Arial" w:hAnsi="Arial" w:cs="Arial"/>
        </w:rPr>
      </w:pPr>
      <w:r>
        <w:rPr>
          <w:rFonts w:ascii="Arial" w:hAnsi="Arial" w:cs="Arial"/>
        </w:rPr>
        <w:t xml:space="preserve">We believe that a reformed market should incorporate both short and long-term service procurement. </w:t>
      </w:r>
    </w:p>
    <w:p w:rsidR="00887F48" w:rsidRDefault="00887F48" w:rsidP="000C6D5A">
      <w:pPr>
        <w:rPr>
          <w:rFonts w:ascii="Arial" w:hAnsi="Arial" w:cs="Arial"/>
        </w:rPr>
      </w:pPr>
      <w:r>
        <w:rPr>
          <w:rFonts w:ascii="Arial" w:hAnsi="Arial" w:cs="Arial"/>
        </w:rPr>
        <w:t xml:space="preserve">Short-term procurement (such as day </w:t>
      </w:r>
      <w:proofErr w:type="gramStart"/>
      <w:r>
        <w:rPr>
          <w:rFonts w:ascii="Arial" w:hAnsi="Arial" w:cs="Arial"/>
        </w:rPr>
        <w:t>ahead,</w:t>
      </w:r>
      <w:proofErr w:type="gramEnd"/>
      <w:r>
        <w:rPr>
          <w:rFonts w:ascii="Arial" w:hAnsi="Arial" w:cs="Arial"/>
        </w:rPr>
        <w:t xml:space="preserve"> or closer where technology allows) would enable a greater range of market participants, including renewable energy resources. Services better tailored to the immediate needs of the network, coupled with wider and more competitive suite of service providers could ensure the best outcome for consumers. </w:t>
      </w:r>
    </w:p>
    <w:p w:rsidR="00887F48" w:rsidRDefault="00887F48" w:rsidP="000C6D5A">
      <w:pPr>
        <w:rPr>
          <w:rFonts w:ascii="Arial" w:hAnsi="Arial" w:cs="Arial"/>
        </w:rPr>
      </w:pPr>
      <w:r>
        <w:rPr>
          <w:rFonts w:ascii="Arial" w:hAnsi="Arial" w:cs="Arial"/>
        </w:rPr>
        <w:t xml:space="preserve">However, short-term procurement must be predictable in order to drive investment in assets and occur in forecastable, regular cycles to ensure liquidity in the market. </w:t>
      </w:r>
    </w:p>
    <w:p w:rsidR="00F62639" w:rsidRPr="00887F48" w:rsidRDefault="00F62639" w:rsidP="000C6D5A">
      <w:pPr>
        <w:rPr>
          <w:rFonts w:ascii="Arial" w:hAnsi="Arial" w:cs="Arial"/>
        </w:rPr>
      </w:pPr>
      <w:r>
        <w:rPr>
          <w:rFonts w:ascii="Arial" w:hAnsi="Arial" w:cs="Arial"/>
        </w:rPr>
        <w:t xml:space="preserve">This should be balanced with long-term contracts, which will be required to enable investment in new assets and therefore to bring a full suite of service providers to market. It is important however, that in line with ensuring the market continues to adapt to system requirements, long-term contracts are regularly reviewed. </w:t>
      </w:r>
    </w:p>
    <w:p w:rsidR="000C6D5A" w:rsidRDefault="000C6D5A" w:rsidP="000C6D5A">
      <w:pPr>
        <w:rPr>
          <w:rFonts w:ascii="Arial" w:hAnsi="Arial" w:cs="Arial"/>
          <w:b/>
        </w:rPr>
      </w:pPr>
      <w:r w:rsidRPr="000C6D5A">
        <w:rPr>
          <w:rFonts w:ascii="Arial" w:hAnsi="Arial" w:cs="Arial"/>
          <w:b/>
        </w:rPr>
        <w:t xml:space="preserve">Q10: What do you consider to be the most appropriate route to support the delivery of new flexible </w:t>
      </w:r>
      <w:r w:rsidR="00E9465B" w:rsidRPr="000C6D5A">
        <w:rPr>
          <w:rFonts w:ascii="Arial" w:hAnsi="Arial" w:cs="Arial"/>
          <w:b/>
        </w:rPr>
        <w:t>capacity</w:t>
      </w:r>
      <w:r w:rsidRPr="000C6D5A">
        <w:rPr>
          <w:rFonts w:ascii="Arial" w:hAnsi="Arial" w:cs="Arial"/>
          <w:b/>
        </w:rPr>
        <w:t xml:space="preserve"> or capability? </w:t>
      </w:r>
    </w:p>
    <w:p w:rsidR="00925200" w:rsidRDefault="00925200" w:rsidP="000C6D5A">
      <w:pPr>
        <w:rPr>
          <w:rFonts w:ascii="Arial" w:hAnsi="Arial" w:cs="Arial"/>
        </w:rPr>
      </w:pPr>
      <w:r>
        <w:rPr>
          <w:rFonts w:ascii="Arial" w:hAnsi="Arial" w:cs="Arial"/>
        </w:rPr>
        <w:t xml:space="preserve">A range of technologies, including existing renewable generation capacity, pumped hydro storage, demand side response and new battery technologies are all able to offer flexibility services. Each ‘flexibility provider’ will operate under a different set of commercial drivers. With this in mind, it is our view that that there are three key revenue-based barriers to making these flexibility providers financeable and </w:t>
      </w:r>
      <w:r w:rsidR="00E11D4A">
        <w:rPr>
          <w:rFonts w:ascii="Arial" w:hAnsi="Arial" w:cs="Arial"/>
        </w:rPr>
        <w:t>supporting their delivery;</w:t>
      </w:r>
    </w:p>
    <w:p w:rsidR="00925200" w:rsidRPr="00925200" w:rsidRDefault="00925200" w:rsidP="00925200">
      <w:pPr>
        <w:pStyle w:val="ListParagraph"/>
        <w:numPr>
          <w:ilvl w:val="0"/>
          <w:numId w:val="1"/>
        </w:numPr>
        <w:rPr>
          <w:rFonts w:cs="Arial"/>
          <w:b/>
        </w:rPr>
      </w:pPr>
      <w:r w:rsidRPr="00925200">
        <w:rPr>
          <w:rFonts w:cs="Arial"/>
          <w:b/>
        </w:rPr>
        <w:lastRenderedPageBreak/>
        <w:t xml:space="preserve">Low bankability: </w:t>
      </w:r>
      <w:r>
        <w:rPr>
          <w:rFonts w:cs="Arial"/>
        </w:rPr>
        <w:t xml:space="preserve">revenue streams from service markets are not easily bankable from a private sector perspective, particularly when contract lengths are short and visibility of future contracts is unclear. A suite of transparent, predictable and well defined, short and long-term contracts can improve the investment case for these service providers. </w:t>
      </w:r>
    </w:p>
    <w:p w:rsidR="00925200" w:rsidRPr="00925200" w:rsidRDefault="00925200" w:rsidP="00925200">
      <w:pPr>
        <w:pStyle w:val="ListParagraph"/>
        <w:numPr>
          <w:ilvl w:val="0"/>
          <w:numId w:val="1"/>
        </w:numPr>
        <w:rPr>
          <w:rFonts w:cs="Arial"/>
          <w:b/>
        </w:rPr>
      </w:pPr>
      <w:r>
        <w:rPr>
          <w:rFonts w:cs="Arial"/>
          <w:b/>
        </w:rPr>
        <w:t xml:space="preserve">Revenue interface risk: </w:t>
      </w:r>
      <w:r>
        <w:rPr>
          <w:rFonts w:cs="Arial"/>
        </w:rPr>
        <w:t xml:space="preserve">Revenue streams from service provision do not always match up from a timing, contractual and technical perspective. Market reform needs to consider that service providers are likely staking multiple revenue streams. </w:t>
      </w:r>
    </w:p>
    <w:p w:rsidR="00925200" w:rsidRPr="00925200" w:rsidRDefault="00925200" w:rsidP="00925200">
      <w:pPr>
        <w:pStyle w:val="ListParagraph"/>
        <w:numPr>
          <w:ilvl w:val="0"/>
          <w:numId w:val="1"/>
        </w:numPr>
        <w:rPr>
          <w:rFonts w:cs="Arial"/>
          <w:b/>
        </w:rPr>
      </w:pPr>
      <w:r>
        <w:rPr>
          <w:rFonts w:cs="Arial"/>
          <w:b/>
        </w:rPr>
        <w:t xml:space="preserve">Lost potential: </w:t>
      </w:r>
      <w:r>
        <w:rPr>
          <w:rFonts w:cs="Arial"/>
        </w:rPr>
        <w:t>Flexibility providers cannot monetise the full range of services that their plant can deliver.</w:t>
      </w:r>
      <w:r w:rsidR="00ED40E5">
        <w:rPr>
          <w:rFonts w:cs="Arial"/>
        </w:rPr>
        <w:t xml:space="preserve"> </w:t>
      </w:r>
    </w:p>
    <w:p w:rsidR="00C33C97" w:rsidRDefault="00925200" w:rsidP="00C33C97">
      <w:pPr>
        <w:pStyle w:val="Default"/>
        <w:rPr>
          <w:sz w:val="22"/>
          <w:szCs w:val="22"/>
        </w:rPr>
      </w:pPr>
      <w:r>
        <w:rPr>
          <w:sz w:val="22"/>
          <w:szCs w:val="22"/>
        </w:rPr>
        <w:t xml:space="preserve">On storage specifically, </w:t>
      </w:r>
      <w:r w:rsidR="00ED40E5">
        <w:rPr>
          <w:sz w:val="22"/>
          <w:szCs w:val="22"/>
        </w:rPr>
        <w:t>reforms to ancillary services should consider that while much of the storage interest in the UK to date has focused on high power applications such as frequency response high energy applications with longer storage durations are of particular value to the system</w:t>
      </w:r>
      <w:r w:rsidR="00C33C97">
        <w:rPr>
          <w:sz w:val="22"/>
          <w:szCs w:val="22"/>
        </w:rPr>
        <w:t>, but has a very different investment case</w:t>
      </w:r>
      <w:r w:rsidR="00ED40E5">
        <w:rPr>
          <w:sz w:val="22"/>
          <w:szCs w:val="22"/>
        </w:rPr>
        <w:t xml:space="preserve">. As it stands the GB electricity system already benefits from 24GWh of pumped storage capacity, split across four sites, largely in Scotland. Around another 50GWh of capacity has planning permission – enough to cover close to the UK’s total peak electricity demand for </w:t>
      </w:r>
      <w:proofErr w:type="gramStart"/>
      <w:r w:rsidR="00ED40E5">
        <w:rPr>
          <w:sz w:val="22"/>
          <w:szCs w:val="22"/>
        </w:rPr>
        <w:t>an</w:t>
      </w:r>
      <w:proofErr w:type="gramEnd"/>
      <w:r w:rsidR="00ED40E5">
        <w:rPr>
          <w:sz w:val="22"/>
          <w:szCs w:val="22"/>
        </w:rPr>
        <w:t xml:space="preserve"> hour</w:t>
      </w:r>
      <w:r w:rsidR="00ED40E5" w:rsidRPr="00ED40E5">
        <w:rPr>
          <w:sz w:val="14"/>
          <w:szCs w:val="14"/>
          <w:highlight w:val="yellow"/>
        </w:rPr>
        <w:t>4</w:t>
      </w:r>
      <w:r w:rsidR="00ED40E5">
        <w:rPr>
          <w:sz w:val="22"/>
          <w:szCs w:val="22"/>
        </w:rPr>
        <w:t xml:space="preserve">. </w:t>
      </w:r>
      <w:r w:rsidR="00C33C97">
        <w:rPr>
          <w:sz w:val="22"/>
          <w:szCs w:val="22"/>
        </w:rPr>
        <w:t xml:space="preserve">Pumped hydro storage can provide much needed system services such as inertial response and black start capability. Yet without reform, it is highly unlikely that investment in new pumped storage projects will be secured. </w:t>
      </w:r>
    </w:p>
    <w:p w:rsidR="00ED40E5" w:rsidRDefault="00ED40E5" w:rsidP="00ED40E5">
      <w:pPr>
        <w:pStyle w:val="Default"/>
        <w:rPr>
          <w:sz w:val="22"/>
          <w:szCs w:val="22"/>
        </w:rPr>
      </w:pPr>
    </w:p>
    <w:p w:rsidR="00C33C97" w:rsidRDefault="00C33C97" w:rsidP="00C33C97">
      <w:pPr>
        <w:pStyle w:val="Default"/>
        <w:rPr>
          <w:sz w:val="22"/>
          <w:szCs w:val="22"/>
        </w:rPr>
      </w:pPr>
      <w:r>
        <w:rPr>
          <w:sz w:val="22"/>
          <w:szCs w:val="22"/>
        </w:rPr>
        <w:t xml:space="preserve">Such projects face large upfront capital costs and long lead times, but this is coupled with comparatively long operational lives and low operational costs. At present, the energy market does not provide sufficient revenue certainty for such significant financial commitments to be made. Project developers are faced with the potential that future revenues will not be sufficient to cover capital and fixed costs. </w:t>
      </w:r>
    </w:p>
    <w:p w:rsidR="0088429F" w:rsidRDefault="0088429F" w:rsidP="00C33C97">
      <w:pPr>
        <w:pStyle w:val="Default"/>
        <w:rPr>
          <w:sz w:val="22"/>
          <w:szCs w:val="22"/>
        </w:rPr>
      </w:pPr>
    </w:p>
    <w:p w:rsidR="00C33C97" w:rsidRDefault="00C33C97" w:rsidP="00C33C97">
      <w:pPr>
        <w:pStyle w:val="Default"/>
        <w:rPr>
          <w:sz w:val="22"/>
          <w:szCs w:val="22"/>
        </w:rPr>
      </w:pPr>
      <w:r>
        <w:rPr>
          <w:sz w:val="22"/>
          <w:szCs w:val="22"/>
        </w:rPr>
        <w:t>DNV GL recently set out in a report ‘The Benefits of Pumped Storage Hydro to the UK’</w:t>
      </w:r>
      <w:r>
        <w:rPr>
          <w:rStyle w:val="FootnoteReference"/>
          <w:sz w:val="22"/>
          <w:szCs w:val="22"/>
        </w:rPr>
        <w:footnoteReference w:id="3"/>
      </w:r>
      <w:r>
        <w:rPr>
          <w:sz w:val="14"/>
          <w:szCs w:val="14"/>
        </w:rPr>
        <w:t xml:space="preserve"> </w:t>
      </w:r>
      <w:r>
        <w:rPr>
          <w:sz w:val="22"/>
          <w:szCs w:val="22"/>
        </w:rPr>
        <w:t xml:space="preserve">a number of factors leading to this uncertainty for pumped storage developers, including uncertainty as to the future of government policy and its impact on available revenues, a lack of an available market for a number of the services provided by pumped storage, and the lack of predictability of revenue forecasting from ancillary service markets, given the short-term nature of such contracts. </w:t>
      </w:r>
    </w:p>
    <w:p w:rsidR="00C33C97" w:rsidRDefault="00C33C97" w:rsidP="00ED40E5">
      <w:pPr>
        <w:pStyle w:val="Default"/>
        <w:rPr>
          <w:sz w:val="22"/>
          <w:szCs w:val="22"/>
        </w:rPr>
      </w:pPr>
    </w:p>
    <w:p w:rsidR="00C33C97" w:rsidRDefault="00C33C97" w:rsidP="00ED40E5">
      <w:pPr>
        <w:pStyle w:val="Default"/>
        <w:rPr>
          <w:sz w:val="22"/>
          <w:szCs w:val="22"/>
        </w:rPr>
      </w:pPr>
      <w:r>
        <w:rPr>
          <w:sz w:val="22"/>
          <w:szCs w:val="22"/>
        </w:rPr>
        <w:t xml:space="preserve">Therefore, a balance needs to be struck between creating a level-playing field and ensuring that price signals allow the most efficient solutions for system requirements to come forward. </w:t>
      </w:r>
    </w:p>
    <w:p w:rsidR="00C33C97" w:rsidRDefault="00C33C97" w:rsidP="00ED40E5">
      <w:pPr>
        <w:pStyle w:val="Default"/>
        <w:rPr>
          <w:sz w:val="22"/>
          <w:szCs w:val="22"/>
        </w:rPr>
      </w:pPr>
    </w:p>
    <w:p w:rsidR="00ED40E5" w:rsidRDefault="00ED40E5" w:rsidP="00ED40E5">
      <w:pPr>
        <w:pStyle w:val="Default"/>
        <w:rPr>
          <w:sz w:val="22"/>
          <w:szCs w:val="22"/>
        </w:rPr>
      </w:pPr>
    </w:p>
    <w:p w:rsidR="00ED40E5" w:rsidRDefault="00ED40E5" w:rsidP="00ED40E5">
      <w:pPr>
        <w:pStyle w:val="Default"/>
        <w:rPr>
          <w:sz w:val="22"/>
          <w:szCs w:val="22"/>
        </w:rPr>
      </w:pPr>
    </w:p>
    <w:p w:rsidR="000C6D5A" w:rsidRDefault="000C6D5A" w:rsidP="000C6D5A">
      <w:pPr>
        <w:rPr>
          <w:rFonts w:ascii="Arial" w:hAnsi="Arial" w:cs="Arial"/>
          <w:b/>
        </w:rPr>
      </w:pPr>
      <w:r w:rsidRPr="000C6D5A">
        <w:rPr>
          <w:rFonts w:ascii="Arial" w:hAnsi="Arial" w:cs="Arial"/>
          <w:b/>
        </w:rPr>
        <w:t xml:space="preserve">Q11: What are your views on the possibility of trialling different procurement approaches such as cleared price auctions and day-ahead markets? </w:t>
      </w:r>
    </w:p>
    <w:p w:rsidR="004C00AC" w:rsidRDefault="004C00AC" w:rsidP="000C6D5A">
      <w:pPr>
        <w:rPr>
          <w:rFonts w:ascii="Arial" w:hAnsi="Arial" w:cs="Arial"/>
        </w:rPr>
      </w:pPr>
      <w:r>
        <w:rPr>
          <w:rFonts w:ascii="Arial" w:hAnsi="Arial" w:cs="Arial"/>
        </w:rPr>
        <w:t xml:space="preserve">We welcome the use of trials to better assess which procurement approaches are best suited to the services sought by NGET. However, in a period of change, industry is looking for certainty – so commitment to set out a programme of trails and to speedily adopt successful outcomes is necessary. </w:t>
      </w:r>
    </w:p>
    <w:p w:rsidR="004C00AC" w:rsidRPr="004C00AC" w:rsidRDefault="004C00AC" w:rsidP="000C6D5A">
      <w:pPr>
        <w:rPr>
          <w:rFonts w:ascii="Arial" w:hAnsi="Arial" w:cs="Arial"/>
        </w:rPr>
      </w:pPr>
    </w:p>
    <w:p w:rsidR="000C6D5A" w:rsidRDefault="000C6D5A" w:rsidP="000C6D5A">
      <w:pPr>
        <w:rPr>
          <w:rFonts w:ascii="Arial" w:hAnsi="Arial" w:cs="Arial"/>
          <w:b/>
        </w:rPr>
      </w:pPr>
      <w:r w:rsidRPr="000C6D5A">
        <w:rPr>
          <w:rFonts w:ascii="Arial" w:hAnsi="Arial" w:cs="Arial"/>
          <w:b/>
        </w:rPr>
        <w:t xml:space="preserve">Q12: What other changes need to be made to other markets, such as the Balancing Mechanism, wholesale market and capacity market? </w:t>
      </w:r>
    </w:p>
    <w:p w:rsidR="004C00AC" w:rsidRDefault="004C00AC" w:rsidP="0088429F">
      <w:pPr>
        <w:rPr>
          <w:rFonts w:ascii="Arial" w:hAnsi="Arial" w:cs="Arial"/>
        </w:rPr>
      </w:pPr>
      <w:r>
        <w:rPr>
          <w:rFonts w:ascii="Arial" w:hAnsi="Arial" w:cs="Arial"/>
        </w:rPr>
        <w:t xml:space="preserve">Ancillary service reform is part of a wider set of system changes, and it is crucial that reforms are designed and implemented in conjunction with other ongoing work streams and other markets. We would urge any market based reform to consider the multiple </w:t>
      </w:r>
      <w:proofErr w:type="spellStart"/>
      <w:r>
        <w:rPr>
          <w:rFonts w:ascii="Arial" w:hAnsi="Arial" w:cs="Arial"/>
        </w:rPr>
        <w:t>workstreams</w:t>
      </w:r>
      <w:proofErr w:type="spellEnd"/>
      <w:r>
        <w:rPr>
          <w:rFonts w:ascii="Arial" w:hAnsi="Arial" w:cs="Arial"/>
        </w:rPr>
        <w:t xml:space="preserve"> on network charging, </w:t>
      </w:r>
      <w:r w:rsidR="007B239F">
        <w:rPr>
          <w:rFonts w:ascii="Arial" w:hAnsi="Arial" w:cs="Arial"/>
        </w:rPr>
        <w:t xml:space="preserve">and (as we comment on below) the transition from DNOs to DSOs. </w:t>
      </w:r>
    </w:p>
    <w:p w:rsidR="004C00AC" w:rsidRPr="000C6D5A" w:rsidRDefault="004C00AC" w:rsidP="000C6D5A">
      <w:pPr>
        <w:rPr>
          <w:rFonts w:ascii="Arial" w:hAnsi="Arial" w:cs="Arial"/>
          <w:b/>
        </w:rPr>
      </w:pPr>
    </w:p>
    <w:p w:rsidR="000C6D5A" w:rsidRDefault="000C6D5A" w:rsidP="000C6D5A">
      <w:pPr>
        <w:rPr>
          <w:rFonts w:ascii="Arial" w:hAnsi="Arial" w:cs="Arial"/>
          <w:b/>
        </w:rPr>
      </w:pPr>
      <w:r w:rsidRPr="000C6D5A">
        <w:rPr>
          <w:rFonts w:ascii="Arial" w:hAnsi="Arial" w:cs="Arial"/>
          <w:b/>
        </w:rPr>
        <w:t xml:space="preserve">Q13. What considerations should be made during this work to ensure that any future DSO developments (i.e. the procurement of balancing services by or from distribution networks) are coordinated? </w:t>
      </w:r>
    </w:p>
    <w:p w:rsidR="00F56651" w:rsidRDefault="00F56651" w:rsidP="00F56651">
      <w:pPr>
        <w:pStyle w:val="Default"/>
        <w:rPr>
          <w:sz w:val="22"/>
          <w:szCs w:val="22"/>
        </w:rPr>
      </w:pPr>
      <w:r w:rsidRPr="00F56651">
        <w:rPr>
          <w:sz w:val="22"/>
          <w:szCs w:val="22"/>
        </w:rPr>
        <w:lastRenderedPageBreak/>
        <w:t xml:space="preserve">Renewable electricity generators already provide a number of system services including frequency response, reactive power and intertrip through contracts with National Grid the system operator (SO). Largely these services are provided by generators that are connected to the transmission network and therefore have an existing contractual relationship with the SO. </w:t>
      </w:r>
    </w:p>
    <w:p w:rsidR="00F56651" w:rsidRPr="00F56651" w:rsidRDefault="00F56651" w:rsidP="00F56651">
      <w:pPr>
        <w:pStyle w:val="Default"/>
        <w:rPr>
          <w:sz w:val="22"/>
          <w:szCs w:val="22"/>
        </w:rPr>
      </w:pPr>
    </w:p>
    <w:p w:rsidR="00F56651" w:rsidRDefault="00F56651" w:rsidP="00F56651">
      <w:pPr>
        <w:pStyle w:val="Default"/>
        <w:rPr>
          <w:sz w:val="22"/>
          <w:szCs w:val="22"/>
        </w:rPr>
      </w:pPr>
      <w:r w:rsidRPr="00F56651">
        <w:rPr>
          <w:sz w:val="22"/>
          <w:szCs w:val="22"/>
        </w:rPr>
        <w:t xml:space="preserve">At the distribution level services provided directly to the distribution network operator are not yet well defined - beyond existing innovation projects - and there is some uncertainty around the DNO’s ability to pass on cost savings to the service provider. </w:t>
      </w:r>
    </w:p>
    <w:p w:rsidR="00F56651" w:rsidRPr="00F56651" w:rsidRDefault="00F56651" w:rsidP="00F56651">
      <w:pPr>
        <w:pStyle w:val="Default"/>
        <w:rPr>
          <w:sz w:val="22"/>
          <w:szCs w:val="22"/>
        </w:rPr>
      </w:pPr>
    </w:p>
    <w:p w:rsidR="00F56651" w:rsidRDefault="00F56651" w:rsidP="00F56651">
      <w:pPr>
        <w:pStyle w:val="Default"/>
        <w:rPr>
          <w:sz w:val="22"/>
          <w:szCs w:val="22"/>
        </w:rPr>
      </w:pPr>
      <w:r w:rsidRPr="00F56651">
        <w:rPr>
          <w:sz w:val="22"/>
          <w:szCs w:val="22"/>
        </w:rPr>
        <w:t>With that in mind a number of distributed generation projects have been able to work with the SO and develop a contractual route to provide necessary services to the SO despite thei</w:t>
      </w:r>
      <w:r>
        <w:rPr>
          <w:sz w:val="22"/>
          <w:szCs w:val="22"/>
        </w:rPr>
        <w:t xml:space="preserve">r connection with the (DNO). </w:t>
      </w:r>
    </w:p>
    <w:p w:rsidR="00F56651" w:rsidRPr="00F56651" w:rsidRDefault="00F56651" w:rsidP="00F56651">
      <w:pPr>
        <w:pStyle w:val="Default"/>
        <w:rPr>
          <w:sz w:val="22"/>
          <w:szCs w:val="22"/>
        </w:rPr>
      </w:pPr>
    </w:p>
    <w:p w:rsidR="00F56651" w:rsidRPr="00F56651" w:rsidRDefault="00F56651" w:rsidP="00F56651">
      <w:pPr>
        <w:rPr>
          <w:rFonts w:ascii="Arial" w:hAnsi="Arial" w:cs="Arial"/>
        </w:rPr>
      </w:pPr>
      <w:r w:rsidRPr="00F56651">
        <w:rPr>
          <w:rFonts w:ascii="Arial" w:hAnsi="Arial" w:cs="Arial"/>
        </w:rPr>
        <w:t>As the system changes and DNO’s seek to take on the role of DSO this could have the potential to create conflicting signals. It is important therefore to ensure that embedded service providers contracting with National Grid do not drive costs for the DNO and where generators or other service providers are able to lower costs for the DNO that there is an appropriate mechanism to realise or recover this value.</w:t>
      </w:r>
    </w:p>
    <w:p w:rsidR="00F56651" w:rsidRPr="00DC3ED6" w:rsidRDefault="00DC3ED6" w:rsidP="000C6D5A">
      <w:pPr>
        <w:rPr>
          <w:rFonts w:ascii="Arial" w:hAnsi="Arial" w:cs="Arial"/>
          <w:b/>
        </w:rPr>
      </w:pPr>
      <w:r w:rsidRPr="00DC3ED6">
        <w:rPr>
          <w:rFonts w:ascii="Arial" w:hAnsi="Arial" w:cs="Arial"/>
          <w:b/>
        </w:rPr>
        <w:t xml:space="preserve">Q14. Any Further Comments </w:t>
      </w:r>
    </w:p>
    <w:p w:rsidR="000C6D5A" w:rsidRPr="000C6D5A" w:rsidRDefault="000C6D5A" w:rsidP="00C33A6E">
      <w:pPr>
        <w:rPr>
          <w:rFonts w:ascii="Arial" w:hAnsi="Arial" w:cs="Arial"/>
          <w:b/>
          <w:sz w:val="24"/>
          <w:szCs w:val="24"/>
        </w:rPr>
      </w:pPr>
    </w:p>
    <w:sectPr w:rsidR="000C6D5A" w:rsidRPr="000C6D5A" w:rsidSect="001D51C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13" w:rsidRDefault="00713C13" w:rsidP="001A52E8">
      <w:pPr>
        <w:spacing w:after="0" w:line="240" w:lineRule="auto"/>
      </w:pPr>
      <w:r>
        <w:separator/>
      </w:r>
    </w:p>
  </w:endnote>
  <w:endnote w:type="continuationSeparator" w:id="0">
    <w:p w:rsidR="00713C13" w:rsidRDefault="00713C13" w:rsidP="001A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0F" w:rsidRDefault="00AF711E">
    <w:pPr>
      <w:pStyle w:val="Footer"/>
    </w:pPr>
    <w:r>
      <w:rPr>
        <w:rFonts w:ascii="Arial" w:hAnsi="Arial" w:cs="Arial"/>
        <w:noProof/>
        <w:sz w:val="20"/>
        <w:szCs w:val="20"/>
        <w:lang w:eastAsia="en-GB"/>
      </w:rPr>
      <w:drawing>
        <wp:anchor distT="0" distB="0" distL="114300" distR="114300" simplePos="0" relativeHeight="251666432" behindDoc="0" locked="0" layoutInCell="1" allowOverlap="1" wp14:anchorId="46DDAF61" wp14:editId="419DEA77">
          <wp:simplePos x="0" y="0"/>
          <wp:positionH relativeFrom="column">
            <wp:posOffset>4500880</wp:posOffset>
          </wp:positionH>
          <wp:positionV relativeFrom="paragraph">
            <wp:posOffset>-57150</wp:posOffset>
          </wp:positionV>
          <wp:extent cx="1852295" cy="1021080"/>
          <wp:effectExtent l="0" t="0" r="0" b="7620"/>
          <wp:wrapSquare wrapText="bothSides"/>
          <wp:docPr id="2" name="Picture 2" descr="E:\SR_Letterhead&amp;Compliment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30F" w:rsidRPr="0074430F">
      <w:rPr>
        <w:noProof/>
        <w:lang w:eastAsia="en-GB"/>
      </w:rPr>
      <w:drawing>
        <wp:anchor distT="0" distB="0" distL="114300" distR="114300" simplePos="0" relativeHeight="251664384" behindDoc="1" locked="0" layoutInCell="0" allowOverlap="0" wp14:anchorId="6238A2FB" wp14:editId="31D16986">
          <wp:simplePos x="0" y="0"/>
          <wp:positionH relativeFrom="page">
            <wp:posOffset>461010</wp:posOffset>
          </wp:positionH>
          <wp:positionV relativeFrom="page">
            <wp:posOffset>10174605</wp:posOffset>
          </wp:positionV>
          <wp:extent cx="1044000" cy="356400"/>
          <wp:effectExtent l="0" t="0" r="3810" b="5715"/>
          <wp:wrapThrough wrapText="bothSides">
            <wp:wrapPolygon edited="0">
              <wp:start x="0" y="0"/>
              <wp:lineTo x="0" y="20791"/>
              <wp:lineTo x="21285" y="20791"/>
              <wp:lineTo x="2128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000" cy="35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13" w:rsidRDefault="00713C13" w:rsidP="001A52E8">
      <w:pPr>
        <w:spacing w:after="0" w:line="240" w:lineRule="auto"/>
      </w:pPr>
      <w:r>
        <w:separator/>
      </w:r>
    </w:p>
  </w:footnote>
  <w:footnote w:type="continuationSeparator" w:id="0">
    <w:p w:rsidR="00713C13" w:rsidRDefault="00713C13" w:rsidP="001A52E8">
      <w:pPr>
        <w:spacing w:after="0" w:line="240" w:lineRule="auto"/>
      </w:pPr>
      <w:r>
        <w:continuationSeparator/>
      </w:r>
    </w:p>
  </w:footnote>
  <w:footnote w:id="1">
    <w:p w:rsidR="00A53401" w:rsidRDefault="00A53401">
      <w:pPr>
        <w:pStyle w:val="FootnoteText"/>
      </w:pPr>
      <w:r>
        <w:rPr>
          <w:rStyle w:val="FootnoteReference"/>
        </w:rPr>
        <w:footnoteRef/>
      </w:r>
      <w:r>
        <w:t xml:space="preserve"> </w:t>
      </w:r>
      <w:hyperlink r:id="rId1" w:history="1">
        <w:r w:rsidRPr="0002375C">
          <w:rPr>
            <w:rStyle w:val="Hyperlink"/>
          </w:rPr>
          <w:t>https://www.scottishrenewables.com/publications/electricity-storage-cracking-code/</w:t>
        </w:r>
      </w:hyperlink>
      <w:r>
        <w:t xml:space="preserve"> </w:t>
      </w:r>
    </w:p>
  </w:footnote>
  <w:footnote w:id="2">
    <w:p w:rsidR="0088429F" w:rsidRDefault="0088429F">
      <w:pPr>
        <w:pStyle w:val="FootnoteText"/>
      </w:pPr>
      <w:r>
        <w:rPr>
          <w:rStyle w:val="FootnoteReference"/>
        </w:rPr>
        <w:footnoteRef/>
      </w:r>
      <w:r>
        <w:t xml:space="preserve"> </w:t>
      </w:r>
      <w:r w:rsidRPr="0088429F">
        <w:t>https://www.scottishrenewables.com/publications/electricity-storage-cracking-code/</w:t>
      </w:r>
    </w:p>
  </w:footnote>
  <w:footnote w:id="3">
    <w:p w:rsidR="00C33C97" w:rsidRDefault="00C33C97">
      <w:pPr>
        <w:pStyle w:val="FootnoteText"/>
      </w:pPr>
      <w:r>
        <w:rPr>
          <w:rStyle w:val="FootnoteReference"/>
        </w:rPr>
        <w:footnoteRef/>
      </w:r>
      <w:r>
        <w:t xml:space="preserve"> </w:t>
      </w:r>
      <w:hyperlink r:id="rId2" w:history="1">
        <w:r w:rsidRPr="0002375C">
          <w:rPr>
            <w:rStyle w:val="Hyperlink"/>
            <w:sz w:val="12"/>
            <w:szCs w:val="12"/>
          </w:rPr>
          <w:t>https://www.scottishrenewables.com/publications/benefits-pumped-storage-hydro-uk/</w:t>
        </w:r>
      </w:hyperlink>
      <w:r>
        <w:rPr>
          <w:sz w:val="12"/>
          <w:szCs w:val="1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0F" w:rsidRDefault="0074430F">
    <w:pPr>
      <w:pStyle w:val="Header"/>
    </w:pPr>
    <w:r w:rsidRPr="004C05DF">
      <w:rPr>
        <w:rFonts w:ascii="Arial" w:hAnsi="Arial" w:cs="Arial"/>
        <w:noProof/>
        <w:sz w:val="20"/>
        <w:szCs w:val="20"/>
        <w:lang w:eastAsia="en-GB"/>
      </w:rPr>
      <w:drawing>
        <wp:anchor distT="0" distB="0" distL="114300" distR="114300" simplePos="0" relativeHeight="251661312" behindDoc="1" locked="1" layoutInCell="1" allowOverlap="1" wp14:anchorId="7E104A09" wp14:editId="51F53421">
          <wp:simplePos x="0" y="0"/>
          <wp:positionH relativeFrom="column">
            <wp:posOffset>3994785</wp:posOffset>
          </wp:positionH>
          <wp:positionV relativeFrom="page">
            <wp:posOffset>802005</wp:posOffset>
          </wp:positionV>
          <wp:extent cx="2375535" cy="1034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5535" cy="1034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0F" w:rsidRDefault="00744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011"/>
    <w:multiLevelType w:val="hybridMultilevel"/>
    <w:tmpl w:val="95F20006"/>
    <w:lvl w:ilvl="0" w:tplc="22F0CC6A">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F7080"/>
    <w:multiLevelType w:val="hybridMultilevel"/>
    <w:tmpl w:val="A478F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0Mbc0NjY2NbE0tTRW0lEKTi0uzszPAykwrAUAQgi44iwAAAA="/>
  </w:docVars>
  <w:rsids>
    <w:rsidRoot w:val="00713C13"/>
    <w:rsid w:val="00001E57"/>
    <w:rsid w:val="00010761"/>
    <w:rsid w:val="0001749F"/>
    <w:rsid w:val="00025862"/>
    <w:rsid w:val="00031A53"/>
    <w:rsid w:val="00033870"/>
    <w:rsid w:val="00034035"/>
    <w:rsid w:val="000655D4"/>
    <w:rsid w:val="000939F4"/>
    <w:rsid w:val="000A7BFD"/>
    <w:rsid w:val="000B2DBD"/>
    <w:rsid w:val="000B39E8"/>
    <w:rsid w:val="000B4793"/>
    <w:rsid w:val="000C130F"/>
    <w:rsid w:val="000C43F3"/>
    <w:rsid w:val="000C6D5A"/>
    <w:rsid w:val="00124F79"/>
    <w:rsid w:val="0017271C"/>
    <w:rsid w:val="00176A38"/>
    <w:rsid w:val="00180234"/>
    <w:rsid w:val="001A52E8"/>
    <w:rsid w:val="001A7DB6"/>
    <w:rsid w:val="001C1505"/>
    <w:rsid w:val="001C2BAE"/>
    <w:rsid w:val="001C63A2"/>
    <w:rsid w:val="001D0D8D"/>
    <w:rsid w:val="001D51C0"/>
    <w:rsid w:val="001E229A"/>
    <w:rsid w:val="001E4EF8"/>
    <w:rsid w:val="002112AD"/>
    <w:rsid w:val="00232965"/>
    <w:rsid w:val="002519BF"/>
    <w:rsid w:val="00260677"/>
    <w:rsid w:val="00262158"/>
    <w:rsid w:val="002707D7"/>
    <w:rsid w:val="002852FF"/>
    <w:rsid w:val="00290D1C"/>
    <w:rsid w:val="00294CE7"/>
    <w:rsid w:val="002974B1"/>
    <w:rsid w:val="002B0CA8"/>
    <w:rsid w:val="002C3A72"/>
    <w:rsid w:val="002D14FF"/>
    <w:rsid w:val="002E612B"/>
    <w:rsid w:val="002F214A"/>
    <w:rsid w:val="00307C79"/>
    <w:rsid w:val="00321754"/>
    <w:rsid w:val="00324E86"/>
    <w:rsid w:val="0035188F"/>
    <w:rsid w:val="0035230C"/>
    <w:rsid w:val="003529B7"/>
    <w:rsid w:val="00353DA9"/>
    <w:rsid w:val="00357001"/>
    <w:rsid w:val="003669D6"/>
    <w:rsid w:val="003713D0"/>
    <w:rsid w:val="00373C65"/>
    <w:rsid w:val="00375ACE"/>
    <w:rsid w:val="003E263F"/>
    <w:rsid w:val="00413450"/>
    <w:rsid w:val="00417524"/>
    <w:rsid w:val="00422354"/>
    <w:rsid w:val="004369E5"/>
    <w:rsid w:val="0044247C"/>
    <w:rsid w:val="00480A97"/>
    <w:rsid w:val="00481C05"/>
    <w:rsid w:val="00485B23"/>
    <w:rsid w:val="00491A49"/>
    <w:rsid w:val="004B07EF"/>
    <w:rsid w:val="004C00AC"/>
    <w:rsid w:val="004C1930"/>
    <w:rsid w:val="004C32AE"/>
    <w:rsid w:val="004D36F0"/>
    <w:rsid w:val="004D788E"/>
    <w:rsid w:val="004F2C06"/>
    <w:rsid w:val="00503CD5"/>
    <w:rsid w:val="0053475E"/>
    <w:rsid w:val="0054427E"/>
    <w:rsid w:val="0055663B"/>
    <w:rsid w:val="00561A70"/>
    <w:rsid w:val="00575184"/>
    <w:rsid w:val="005A180B"/>
    <w:rsid w:val="005A74FB"/>
    <w:rsid w:val="005B6541"/>
    <w:rsid w:val="005C4C87"/>
    <w:rsid w:val="005E4101"/>
    <w:rsid w:val="00600164"/>
    <w:rsid w:val="00601815"/>
    <w:rsid w:val="00601B39"/>
    <w:rsid w:val="00620FC9"/>
    <w:rsid w:val="006408AE"/>
    <w:rsid w:val="00654E1E"/>
    <w:rsid w:val="00662CEB"/>
    <w:rsid w:val="006652E2"/>
    <w:rsid w:val="006A3E4A"/>
    <w:rsid w:val="006B1D4E"/>
    <w:rsid w:val="006B3456"/>
    <w:rsid w:val="006C2AD4"/>
    <w:rsid w:val="006D5C30"/>
    <w:rsid w:val="006E37CE"/>
    <w:rsid w:val="006F3D88"/>
    <w:rsid w:val="006F3E58"/>
    <w:rsid w:val="00713C13"/>
    <w:rsid w:val="00714211"/>
    <w:rsid w:val="007220A6"/>
    <w:rsid w:val="007221C9"/>
    <w:rsid w:val="00735462"/>
    <w:rsid w:val="0074430F"/>
    <w:rsid w:val="00770B91"/>
    <w:rsid w:val="00774E4C"/>
    <w:rsid w:val="007825CE"/>
    <w:rsid w:val="007A0E02"/>
    <w:rsid w:val="007A214C"/>
    <w:rsid w:val="007A7AFA"/>
    <w:rsid w:val="007B239F"/>
    <w:rsid w:val="007C031D"/>
    <w:rsid w:val="007C3C2B"/>
    <w:rsid w:val="007F63EB"/>
    <w:rsid w:val="0080461F"/>
    <w:rsid w:val="00815BC1"/>
    <w:rsid w:val="0082191A"/>
    <w:rsid w:val="008523E1"/>
    <w:rsid w:val="00857B0A"/>
    <w:rsid w:val="008672C2"/>
    <w:rsid w:val="00867B1E"/>
    <w:rsid w:val="00870D7F"/>
    <w:rsid w:val="0088429F"/>
    <w:rsid w:val="00887F48"/>
    <w:rsid w:val="008A35C6"/>
    <w:rsid w:val="008C7350"/>
    <w:rsid w:val="008D2DB8"/>
    <w:rsid w:val="008F681B"/>
    <w:rsid w:val="0090203A"/>
    <w:rsid w:val="00915A30"/>
    <w:rsid w:val="00925200"/>
    <w:rsid w:val="009453E7"/>
    <w:rsid w:val="009464F3"/>
    <w:rsid w:val="009645C9"/>
    <w:rsid w:val="00975FD8"/>
    <w:rsid w:val="00981853"/>
    <w:rsid w:val="00987982"/>
    <w:rsid w:val="009A7A16"/>
    <w:rsid w:val="009B2E1A"/>
    <w:rsid w:val="009D4BB2"/>
    <w:rsid w:val="009F2AC4"/>
    <w:rsid w:val="009F2B13"/>
    <w:rsid w:val="009F2ED1"/>
    <w:rsid w:val="00A045F1"/>
    <w:rsid w:val="00A06739"/>
    <w:rsid w:val="00A43FD4"/>
    <w:rsid w:val="00A53401"/>
    <w:rsid w:val="00A71B1A"/>
    <w:rsid w:val="00A80884"/>
    <w:rsid w:val="00A85B40"/>
    <w:rsid w:val="00A96AD1"/>
    <w:rsid w:val="00AC447F"/>
    <w:rsid w:val="00AD370D"/>
    <w:rsid w:val="00AE618E"/>
    <w:rsid w:val="00AF711E"/>
    <w:rsid w:val="00B16D30"/>
    <w:rsid w:val="00B17D3F"/>
    <w:rsid w:val="00B239BF"/>
    <w:rsid w:val="00B333F1"/>
    <w:rsid w:val="00B57DF0"/>
    <w:rsid w:val="00B74D84"/>
    <w:rsid w:val="00B84251"/>
    <w:rsid w:val="00B9309D"/>
    <w:rsid w:val="00B9623A"/>
    <w:rsid w:val="00BA6AF6"/>
    <w:rsid w:val="00BC383E"/>
    <w:rsid w:val="00BE0956"/>
    <w:rsid w:val="00BE791A"/>
    <w:rsid w:val="00BF7595"/>
    <w:rsid w:val="00C015AE"/>
    <w:rsid w:val="00C06DDD"/>
    <w:rsid w:val="00C1389A"/>
    <w:rsid w:val="00C33A6E"/>
    <w:rsid w:val="00C33C97"/>
    <w:rsid w:val="00C35165"/>
    <w:rsid w:val="00C44637"/>
    <w:rsid w:val="00C60EB8"/>
    <w:rsid w:val="00C6338D"/>
    <w:rsid w:val="00C67266"/>
    <w:rsid w:val="00CA22FB"/>
    <w:rsid w:val="00CC1038"/>
    <w:rsid w:val="00CC356F"/>
    <w:rsid w:val="00CE36F0"/>
    <w:rsid w:val="00CF2843"/>
    <w:rsid w:val="00D04E9D"/>
    <w:rsid w:val="00D2352F"/>
    <w:rsid w:val="00D23F51"/>
    <w:rsid w:val="00D35EF5"/>
    <w:rsid w:val="00D51A2A"/>
    <w:rsid w:val="00D84FC0"/>
    <w:rsid w:val="00D85B8B"/>
    <w:rsid w:val="00DB4433"/>
    <w:rsid w:val="00DC0112"/>
    <w:rsid w:val="00DC1199"/>
    <w:rsid w:val="00DC3ED6"/>
    <w:rsid w:val="00DD229C"/>
    <w:rsid w:val="00E11ADE"/>
    <w:rsid w:val="00E11D4A"/>
    <w:rsid w:val="00E33C36"/>
    <w:rsid w:val="00E34EBB"/>
    <w:rsid w:val="00E37595"/>
    <w:rsid w:val="00E4112A"/>
    <w:rsid w:val="00E9465B"/>
    <w:rsid w:val="00ED40E5"/>
    <w:rsid w:val="00EE273A"/>
    <w:rsid w:val="00EE313C"/>
    <w:rsid w:val="00EE3D91"/>
    <w:rsid w:val="00EE6E51"/>
    <w:rsid w:val="00EF6C00"/>
    <w:rsid w:val="00EF7A8C"/>
    <w:rsid w:val="00F0160B"/>
    <w:rsid w:val="00F13578"/>
    <w:rsid w:val="00F22BAA"/>
    <w:rsid w:val="00F23FB1"/>
    <w:rsid w:val="00F25AEB"/>
    <w:rsid w:val="00F365B9"/>
    <w:rsid w:val="00F36A8C"/>
    <w:rsid w:val="00F50840"/>
    <w:rsid w:val="00F50844"/>
    <w:rsid w:val="00F5167B"/>
    <w:rsid w:val="00F56651"/>
    <w:rsid w:val="00F62639"/>
    <w:rsid w:val="00F745B4"/>
    <w:rsid w:val="00F7564A"/>
    <w:rsid w:val="00F94DD6"/>
    <w:rsid w:val="00FE0453"/>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9A"/>
    <w:rPr>
      <w:rFonts w:ascii="Tahoma" w:hAnsi="Tahoma" w:cs="Tahoma"/>
      <w:sz w:val="16"/>
      <w:szCs w:val="16"/>
    </w:rPr>
  </w:style>
  <w:style w:type="paragraph" w:styleId="Header">
    <w:name w:val="header"/>
    <w:basedOn w:val="Normal"/>
    <w:link w:val="HeaderChar"/>
    <w:uiPriority w:val="99"/>
    <w:unhideWhenUsed/>
    <w:rsid w:val="001A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2E8"/>
  </w:style>
  <w:style w:type="paragraph" w:styleId="Footer">
    <w:name w:val="footer"/>
    <w:basedOn w:val="Normal"/>
    <w:link w:val="FooterChar"/>
    <w:uiPriority w:val="99"/>
    <w:unhideWhenUsed/>
    <w:rsid w:val="001A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2E8"/>
  </w:style>
  <w:style w:type="character" w:styleId="PlaceholderText">
    <w:name w:val="Placeholder Text"/>
    <w:basedOn w:val="DefaultParagraphFont"/>
    <w:uiPriority w:val="99"/>
    <w:semiHidden/>
    <w:rsid w:val="001A52E8"/>
    <w:rPr>
      <w:color w:val="808080"/>
    </w:rPr>
  </w:style>
  <w:style w:type="paragraph" w:customStyle="1" w:styleId="Default">
    <w:name w:val="Default"/>
    <w:rsid w:val="006B1D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rsid w:val="00C06DDD"/>
    <w:pPr>
      <w:spacing w:line="240" w:lineRule="auto"/>
      <w:ind w:left="720"/>
      <w:contextualSpacing/>
    </w:pPr>
    <w:rPr>
      <w:rFonts w:ascii="Arial" w:hAnsi="Arial"/>
    </w:rPr>
  </w:style>
  <w:style w:type="paragraph" w:styleId="FootnoteText">
    <w:name w:val="footnote text"/>
    <w:basedOn w:val="Normal"/>
    <w:link w:val="FootnoteTextChar"/>
    <w:uiPriority w:val="99"/>
    <w:semiHidden/>
    <w:unhideWhenUsed/>
    <w:rsid w:val="00A53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401"/>
    <w:rPr>
      <w:sz w:val="20"/>
      <w:szCs w:val="20"/>
    </w:rPr>
  </w:style>
  <w:style w:type="character" w:styleId="FootnoteReference">
    <w:name w:val="footnote reference"/>
    <w:basedOn w:val="DefaultParagraphFont"/>
    <w:uiPriority w:val="99"/>
    <w:semiHidden/>
    <w:unhideWhenUsed/>
    <w:rsid w:val="00A53401"/>
    <w:rPr>
      <w:vertAlign w:val="superscript"/>
    </w:rPr>
  </w:style>
  <w:style w:type="character" w:styleId="Hyperlink">
    <w:name w:val="Hyperlink"/>
    <w:basedOn w:val="DefaultParagraphFont"/>
    <w:uiPriority w:val="99"/>
    <w:unhideWhenUsed/>
    <w:rsid w:val="00A53401"/>
    <w:rPr>
      <w:color w:val="0000FF" w:themeColor="hyperlink"/>
      <w:u w:val="single"/>
    </w:rPr>
  </w:style>
  <w:style w:type="character" w:styleId="CommentReference">
    <w:name w:val="annotation reference"/>
    <w:basedOn w:val="DefaultParagraphFont"/>
    <w:uiPriority w:val="99"/>
    <w:semiHidden/>
    <w:unhideWhenUsed/>
    <w:rsid w:val="00561A70"/>
    <w:rPr>
      <w:sz w:val="16"/>
      <w:szCs w:val="16"/>
    </w:rPr>
  </w:style>
  <w:style w:type="paragraph" w:styleId="CommentText">
    <w:name w:val="annotation text"/>
    <w:basedOn w:val="Normal"/>
    <w:link w:val="CommentTextChar"/>
    <w:uiPriority w:val="99"/>
    <w:semiHidden/>
    <w:unhideWhenUsed/>
    <w:rsid w:val="00561A70"/>
    <w:pPr>
      <w:spacing w:line="240" w:lineRule="auto"/>
    </w:pPr>
    <w:rPr>
      <w:sz w:val="20"/>
      <w:szCs w:val="20"/>
    </w:rPr>
  </w:style>
  <w:style w:type="character" w:customStyle="1" w:styleId="CommentTextChar">
    <w:name w:val="Comment Text Char"/>
    <w:basedOn w:val="DefaultParagraphFont"/>
    <w:link w:val="CommentText"/>
    <w:uiPriority w:val="99"/>
    <w:semiHidden/>
    <w:rsid w:val="00561A70"/>
    <w:rPr>
      <w:sz w:val="20"/>
      <w:szCs w:val="20"/>
    </w:rPr>
  </w:style>
  <w:style w:type="paragraph" w:styleId="CommentSubject">
    <w:name w:val="annotation subject"/>
    <w:basedOn w:val="CommentText"/>
    <w:next w:val="CommentText"/>
    <w:link w:val="CommentSubjectChar"/>
    <w:uiPriority w:val="99"/>
    <w:semiHidden/>
    <w:unhideWhenUsed/>
    <w:rsid w:val="00561A70"/>
    <w:rPr>
      <w:b/>
      <w:bCs/>
    </w:rPr>
  </w:style>
  <w:style w:type="character" w:customStyle="1" w:styleId="CommentSubjectChar">
    <w:name w:val="Comment Subject Char"/>
    <w:basedOn w:val="CommentTextChar"/>
    <w:link w:val="CommentSubject"/>
    <w:uiPriority w:val="99"/>
    <w:semiHidden/>
    <w:rsid w:val="00561A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9A"/>
    <w:rPr>
      <w:rFonts w:ascii="Tahoma" w:hAnsi="Tahoma" w:cs="Tahoma"/>
      <w:sz w:val="16"/>
      <w:szCs w:val="16"/>
    </w:rPr>
  </w:style>
  <w:style w:type="paragraph" w:styleId="Header">
    <w:name w:val="header"/>
    <w:basedOn w:val="Normal"/>
    <w:link w:val="HeaderChar"/>
    <w:uiPriority w:val="99"/>
    <w:unhideWhenUsed/>
    <w:rsid w:val="001A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2E8"/>
  </w:style>
  <w:style w:type="paragraph" w:styleId="Footer">
    <w:name w:val="footer"/>
    <w:basedOn w:val="Normal"/>
    <w:link w:val="FooterChar"/>
    <w:uiPriority w:val="99"/>
    <w:unhideWhenUsed/>
    <w:rsid w:val="001A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2E8"/>
  </w:style>
  <w:style w:type="character" w:styleId="PlaceholderText">
    <w:name w:val="Placeholder Text"/>
    <w:basedOn w:val="DefaultParagraphFont"/>
    <w:uiPriority w:val="99"/>
    <w:semiHidden/>
    <w:rsid w:val="001A52E8"/>
    <w:rPr>
      <w:color w:val="808080"/>
    </w:rPr>
  </w:style>
  <w:style w:type="paragraph" w:customStyle="1" w:styleId="Default">
    <w:name w:val="Default"/>
    <w:rsid w:val="006B1D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rsid w:val="00C06DDD"/>
    <w:pPr>
      <w:spacing w:line="240" w:lineRule="auto"/>
      <w:ind w:left="720"/>
      <w:contextualSpacing/>
    </w:pPr>
    <w:rPr>
      <w:rFonts w:ascii="Arial" w:hAnsi="Arial"/>
    </w:rPr>
  </w:style>
  <w:style w:type="paragraph" w:styleId="FootnoteText">
    <w:name w:val="footnote text"/>
    <w:basedOn w:val="Normal"/>
    <w:link w:val="FootnoteTextChar"/>
    <w:uiPriority w:val="99"/>
    <w:semiHidden/>
    <w:unhideWhenUsed/>
    <w:rsid w:val="00A53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401"/>
    <w:rPr>
      <w:sz w:val="20"/>
      <w:szCs w:val="20"/>
    </w:rPr>
  </w:style>
  <w:style w:type="character" w:styleId="FootnoteReference">
    <w:name w:val="footnote reference"/>
    <w:basedOn w:val="DefaultParagraphFont"/>
    <w:uiPriority w:val="99"/>
    <w:semiHidden/>
    <w:unhideWhenUsed/>
    <w:rsid w:val="00A53401"/>
    <w:rPr>
      <w:vertAlign w:val="superscript"/>
    </w:rPr>
  </w:style>
  <w:style w:type="character" w:styleId="Hyperlink">
    <w:name w:val="Hyperlink"/>
    <w:basedOn w:val="DefaultParagraphFont"/>
    <w:uiPriority w:val="99"/>
    <w:unhideWhenUsed/>
    <w:rsid w:val="00A53401"/>
    <w:rPr>
      <w:color w:val="0000FF" w:themeColor="hyperlink"/>
      <w:u w:val="single"/>
    </w:rPr>
  </w:style>
  <w:style w:type="character" w:styleId="CommentReference">
    <w:name w:val="annotation reference"/>
    <w:basedOn w:val="DefaultParagraphFont"/>
    <w:uiPriority w:val="99"/>
    <w:semiHidden/>
    <w:unhideWhenUsed/>
    <w:rsid w:val="00561A70"/>
    <w:rPr>
      <w:sz w:val="16"/>
      <w:szCs w:val="16"/>
    </w:rPr>
  </w:style>
  <w:style w:type="paragraph" w:styleId="CommentText">
    <w:name w:val="annotation text"/>
    <w:basedOn w:val="Normal"/>
    <w:link w:val="CommentTextChar"/>
    <w:uiPriority w:val="99"/>
    <w:semiHidden/>
    <w:unhideWhenUsed/>
    <w:rsid w:val="00561A70"/>
    <w:pPr>
      <w:spacing w:line="240" w:lineRule="auto"/>
    </w:pPr>
    <w:rPr>
      <w:sz w:val="20"/>
      <w:szCs w:val="20"/>
    </w:rPr>
  </w:style>
  <w:style w:type="character" w:customStyle="1" w:styleId="CommentTextChar">
    <w:name w:val="Comment Text Char"/>
    <w:basedOn w:val="DefaultParagraphFont"/>
    <w:link w:val="CommentText"/>
    <w:uiPriority w:val="99"/>
    <w:semiHidden/>
    <w:rsid w:val="00561A70"/>
    <w:rPr>
      <w:sz w:val="20"/>
      <w:szCs w:val="20"/>
    </w:rPr>
  </w:style>
  <w:style w:type="paragraph" w:styleId="CommentSubject">
    <w:name w:val="annotation subject"/>
    <w:basedOn w:val="CommentText"/>
    <w:next w:val="CommentText"/>
    <w:link w:val="CommentSubjectChar"/>
    <w:uiPriority w:val="99"/>
    <w:semiHidden/>
    <w:unhideWhenUsed/>
    <w:rsid w:val="00561A70"/>
    <w:rPr>
      <w:b/>
      <w:bCs/>
    </w:rPr>
  </w:style>
  <w:style w:type="character" w:customStyle="1" w:styleId="CommentSubjectChar">
    <w:name w:val="Comment Subject Char"/>
    <w:basedOn w:val="CommentTextChar"/>
    <w:link w:val="CommentSubject"/>
    <w:uiPriority w:val="99"/>
    <w:semiHidden/>
    <w:rsid w:val="00561A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scottishrenewables.com/publications/benefits-pumped-storage-hydro-uk/" TargetMode="External"/><Relationship Id="rId1" Type="http://schemas.openxmlformats.org/officeDocument/2006/relationships/hyperlink" Target="https://www.scottishrenewables.com/publications/electricity-storage-cracking-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vents%20&amp;%20Marketing%20Department\SR%20Brand%20Toolkit\TEMPLATES\Policy\Cons%20Resp%20Template_Letter+Annex.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6AC015EEBF44C4B60889E9BE8DB43B"/>
        <w:category>
          <w:name w:val="General"/>
          <w:gallery w:val="placeholder"/>
        </w:category>
        <w:types>
          <w:type w:val="bbPlcHdr"/>
        </w:types>
        <w:behaviors>
          <w:behavior w:val="content"/>
        </w:behaviors>
        <w:guid w:val="{5C1A657C-653F-4C94-8B34-62E662F0790C}"/>
      </w:docPartPr>
      <w:docPartBody>
        <w:p w:rsidR="00C244B7" w:rsidRDefault="00C244B7">
          <w:pPr>
            <w:pStyle w:val="C06AC015EEBF44C4B60889E9BE8DB43B"/>
          </w:pPr>
          <w:r w:rsidRPr="00315CFD">
            <w:rPr>
              <w:rStyle w:val="PlaceholderText"/>
            </w:rPr>
            <w:t>Click here to enter a date.</w:t>
          </w:r>
        </w:p>
      </w:docPartBody>
    </w:docPart>
    <w:docPart>
      <w:docPartPr>
        <w:name w:val="17619F17E10C4146B68C9BE510BFFA41"/>
        <w:category>
          <w:name w:val="General"/>
          <w:gallery w:val="placeholder"/>
        </w:category>
        <w:types>
          <w:type w:val="bbPlcHdr"/>
        </w:types>
        <w:behaviors>
          <w:behavior w:val="content"/>
        </w:behaviors>
        <w:guid w:val="{01F11512-A1FC-4820-8ACA-2BCD583DFC01}"/>
      </w:docPartPr>
      <w:docPartBody>
        <w:p w:rsidR="00C244B7" w:rsidRDefault="00C244B7">
          <w:pPr>
            <w:pStyle w:val="17619F17E10C4146B68C9BE510BFFA41"/>
          </w:pPr>
          <w:r w:rsidRPr="00315CF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B7"/>
    <w:rsid w:val="00C24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6AC015EEBF44C4B60889E9BE8DB43B">
    <w:name w:val="C06AC015EEBF44C4B60889E9BE8DB43B"/>
  </w:style>
  <w:style w:type="paragraph" w:customStyle="1" w:styleId="17619F17E10C4146B68C9BE510BFFA41">
    <w:name w:val="17619F17E10C4146B68C9BE510BFFA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6AC015EEBF44C4B60889E9BE8DB43B">
    <w:name w:val="C06AC015EEBF44C4B60889E9BE8DB43B"/>
  </w:style>
  <w:style w:type="paragraph" w:customStyle="1" w:styleId="17619F17E10C4146B68C9BE510BFFA41">
    <w:name w:val="17619F17E10C4146B68C9BE510BFF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4392-C984-4A4A-A802-71CD4DDE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 Resp Template_Letter+Annex</Template>
  <TotalTime>18</TotalTime>
  <Pages>6</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Smith</dc:creator>
  <cp:lastModifiedBy>Mrieley</cp:lastModifiedBy>
  <cp:revision>3</cp:revision>
  <cp:lastPrinted>2017-07-10T15:12:00Z</cp:lastPrinted>
  <dcterms:created xsi:type="dcterms:W3CDTF">2017-07-10T15:10:00Z</dcterms:created>
  <dcterms:modified xsi:type="dcterms:W3CDTF">2017-07-10T15:29:00Z</dcterms:modified>
</cp:coreProperties>
</file>